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0505F" w14:textId="77777777" w:rsidR="00A87C7C" w:rsidRPr="00A87C7C" w:rsidRDefault="00A87C7C" w:rsidP="00A87C7C">
      <w:pPr>
        <w:pStyle w:val="Author"/>
      </w:pPr>
      <w:r>
        <w:t>National Biosecurity Communication and Engagement Network</w:t>
      </w:r>
    </w:p>
    <w:p w14:paraId="787F1C1B" w14:textId="0563FECF" w:rsidR="007A5BD5" w:rsidRDefault="007A5BD5" w:rsidP="007A5BD5">
      <w:pPr>
        <w:pStyle w:val="Heading1"/>
      </w:pPr>
      <w:r w:rsidRPr="007A5BD5">
        <w:t>B</w:t>
      </w:r>
      <w:r w:rsidR="0008563B">
        <w:t>iosec</w:t>
      </w:r>
      <w:r w:rsidR="00C44D99">
        <w:t>urity Incident Public Information Manual</w:t>
      </w:r>
      <w:r w:rsidR="00500EE4">
        <w:t xml:space="preserve"> </w:t>
      </w:r>
      <w:r w:rsidRPr="007A5BD5">
        <w:t xml:space="preserve">Part 1 – Public </w:t>
      </w:r>
      <w:r w:rsidR="00246FB8">
        <w:t>i</w:t>
      </w:r>
      <w:r w:rsidRPr="007A5BD5">
        <w:t xml:space="preserve">nformation </w:t>
      </w:r>
      <w:r w:rsidR="00246FB8">
        <w:t>p</w:t>
      </w:r>
      <w:r w:rsidRPr="007A5BD5">
        <w:t>olicy</w:t>
      </w:r>
    </w:p>
    <w:p w14:paraId="7768BA3B" w14:textId="7449BD76" w:rsidR="001A1CEC" w:rsidRPr="001A1CEC" w:rsidRDefault="00F04761" w:rsidP="00F549BF">
      <w:r>
        <w:rPr>
          <w:noProof/>
        </w:rPr>
        <w:drawing>
          <wp:inline distT="0" distB="0" distL="0" distR="0" wp14:anchorId="447B9425" wp14:editId="5FB5597D">
            <wp:extent cx="5508000" cy="3672203"/>
            <wp:effectExtent l="0" t="0" r="3810" b="0"/>
            <wp:docPr id="27963131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31316"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08000" cy="3672203"/>
                    </a:xfrm>
                    <a:prstGeom prst="rect">
                      <a:avLst/>
                    </a:prstGeom>
                  </pic:spPr>
                </pic:pic>
              </a:graphicData>
            </a:graphic>
          </wp:inline>
        </w:drawing>
      </w:r>
    </w:p>
    <w:p w14:paraId="77E2F0AF" w14:textId="66E74D7C" w:rsidR="00764D6A" w:rsidRDefault="00E91D72">
      <w:pPr>
        <w:pStyle w:val="Normalsmall"/>
      </w:pPr>
      <w:r>
        <w:br w:type="page"/>
      </w:r>
      <w:r>
        <w:lastRenderedPageBreak/>
        <w:t xml:space="preserve">© Commonwealth of Australia </w:t>
      </w:r>
      <w:r w:rsidR="00B97E61">
        <w:t>202</w:t>
      </w:r>
      <w:r w:rsidR="00894031">
        <w:t>6</w:t>
      </w:r>
    </w:p>
    <w:p w14:paraId="5838577E" w14:textId="77777777" w:rsidR="00764D6A" w:rsidRDefault="00E91D72" w:rsidP="00894031">
      <w:pPr>
        <w:pStyle w:val="Normalsmall"/>
        <w:spacing w:after="0"/>
        <w:rPr>
          <w:rStyle w:val="Strong"/>
        </w:rPr>
      </w:pPr>
      <w:r>
        <w:rPr>
          <w:rStyle w:val="Strong"/>
        </w:rPr>
        <w:t>Ownership of intellectual property rights</w:t>
      </w:r>
    </w:p>
    <w:p w14:paraId="04816899" w14:textId="77777777" w:rsidR="00764D6A" w:rsidRDefault="00E91D72">
      <w:pPr>
        <w:pStyle w:val="Normalsmall"/>
      </w:pPr>
      <w:r>
        <w:t>Unless otherwise noted, copyright (and any other intellectual property rights) in this publication is owned by the Commonwealth of Australia (referred to as the Commonwealth).</w:t>
      </w:r>
    </w:p>
    <w:p w14:paraId="739677AA" w14:textId="77777777" w:rsidR="00764D6A" w:rsidRDefault="00E91D72" w:rsidP="00894031">
      <w:pPr>
        <w:pStyle w:val="Normalsmall"/>
        <w:spacing w:after="0"/>
        <w:rPr>
          <w:rStyle w:val="Strong"/>
        </w:rPr>
      </w:pPr>
      <w:r>
        <w:rPr>
          <w:rStyle w:val="Strong"/>
        </w:rPr>
        <w:t>Creative Commons licence</w:t>
      </w:r>
    </w:p>
    <w:p w14:paraId="6E79BCE6" w14:textId="77777777" w:rsidR="00764D6A" w:rsidRDefault="00E91D72">
      <w:pPr>
        <w:pStyle w:val="Normalsmall"/>
      </w:pPr>
      <w:r>
        <w:t xml:space="preserve">All material in this publication is licensed under a </w:t>
      </w:r>
      <w:hyperlink r:id="rId12" w:history="1">
        <w:r>
          <w:rPr>
            <w:rStyle w:val="Hyperlink"/>
          </w:rPr>
          <w:t>Creative Commons Attribution 4.0 International Licence</w:t>
        </w:r>
      </w:hyperlink>
      <w:r>
        <w:t xml:space="preserve"> except content supplied by third parties, logos and the Commonwealth Coat of Arms.</w:t>
      </w:r>
    </w:p>
    <w:p w14:paraId="4F50C568" w14:textId="77777777" w:rsidR="00764D6A" w:rsidRPr="00364A4A" w:rsidRDefault="00E91D72">
      <w:pPr>
        <w:pStyle w:val="Normalsmall"/>
      </w:pPr>
      <w:r w:rsidRPr="00364A4A">
        <w:rPr>
          <w:noProof/>
          <w:lang w:eastAsia="en-AU"/>
        </w:rPr>
        <w:drawing>
          <wp:inline distT="0" distB="0" distL="0" distR="0" wp14:anchorId="332BEFC4" wp14:editId="379A0034">
            <wp:extent cx="724535" cy="25527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3" cstate="print"/>
                    <a:srcRect/>
                    <a:stretch>
                      <a:fillRect/>
                    </a:stretch>
                  </pic:blipFill>
                  <pic:spPr bwMode="auto">
                    <a:xfrm>
                      <a:off x="0" y="0"/>
                      <a:ext cx="724535" cy="255270"/>
                    </a:xfrm>
                    <a:prstGeom prst="rect">
                      <a:avLst/>
                    </a:prstGeom>
                    <a:noFill/>
                    <a:ln w="9525">
                      <a:noFill/>
                      <a:miter lim="800000"/>
                      <a:headEnd/>
                      <a:tailEnd/>
                    </a:ln>
                  </pic:spPr>
                </pic:pic>
              </a:graphicData>
            </a:graphic>
          </wp:inline>
        </w:drawing>
      </w:r>
    </w:p>
    <w:p w14:paraId="68B1F860" w14:textId="77777777" w:rsidR="00764D6A" w:rsidRPr="00364A4A" w:rsidRDefault="00E91D72" w:rsidP="00894031">
      <w:pPr>
        <w:pStyle w:val="Normalsmall"/>
        <w:spacing w:after="0"/>
        <w:rPr>
          <w:rStyle w:val="Strong"/>
        </w:rPr>
      </w:pPr>
      <w:r w:rsidRPr="00364A4A">
        <w:rPr>
          <w:rStyle w:val="Strong"/>
        </w:rPr>
        <w:t>Cataloguing data</w:t>
      </w:r>
    </w:p>
    <w:p w14:paraId="0E9273AA" w14:textId="52329347" w:rsidR="00764D6A" w:rsidRDefault="00E91D72">
      <w:pPr>
        <w:pStyle w:val="Normalsmall"/>
      </w:pPr>
      <w:r w:rsidRPr="00364A4A">
        <w:t xml:space="preserve">This publication (and any material sourced from it) should be attributed as: </w:t>
      </w:r>
      <w:r w:rsidR="00F36371" w:rsidRPr="00D84E0E">
        <w:t xml:space="preserve">NBCEN 2026, </w:t>
      </w:r>
      <w:r w:rsidR="00F36371" w:rsidRPr="00F36371">
        <w:rPr>
          <w:i/>
          <w:iCs/>
        </w:rPr>
        <w:t>Biosecurity incident public information manual: Part 1</w:t>
      </w:r>
      <w:r w:rsidR="00AC7B20">
        <w:rPr>
          <w:i/>
          <w:iCs/>
        </w:rPr>
        <w:t xml:space="preserve"> –</w:t>
      </w:r>
      <w:r w:rsidR="00F36371" w:rsidRPr="00F36371">
        <w:rPr>
          <w:i/>
          <w:iCs/>
        </w:rPr>
        <w:t xml:space="preserve"> Public </w:t>
      </w:r>
      <w:r w:rsidR="00246FB8">
        <w:rPr>
          <w:i/>
          <w:iCs/>
        </w:rPr>
        <w:t>i</w:t>
      </w:r>
      <w:r w:rsidR="00F36371" w:rsidRPr="00F36371">
        <w:rPr>
          <w:i/>
          <w:iCs/>
        </w:rPr>
        <w:t xml:space="preserve">nformation </w:t>
      </w:r>
      <w:r w:rsidR="00246FB8">
        <w:rPr>
          <w:i/>
          <w:iCs/>
        </w:rPr>
        <w:t>p</w:t>
      </w:r>
      <w:r w:rsidR="00F36371" w:rsidRPr="00F36371">
        <w:rPr>
          <w:i/>
          <w:iCs/>
        </w:rPr>
        <w:t>olicy</w:t>
      </w:r>
      <w:r w:rsidR="00F36371" w:rsidRPr="00F36371">
        <w:t>, National Biosecurity Communication and Engagement Network</w:t>
      </w:r>
      <w:r>
        <w:t>, Canberra. CC BY 4.0.</w:t>
      </w:r>
    </w:p>
    <w:p w14:paraId="236BECBE" w14:textId="5E14D4CA" w:rsidR="00764D6A" w:rsidRDefault="00E91D72">
      <w:pPr>
        <w:pStyle w:val="Normalsmall"/>
      </w:pPr>
      <w:r>
        <w:t xml:space="preserve">This publication is available at </w:t>
      </w:r>
      <w:hyperlink r:id="rId14" w:history="1">
        <w:r w:rsidR="3E11D1CC" w:rsidRPr="00574AA0">
          <w:rPr>
            <w:rStyle w:val="Hyperlink"/>
          </w:rPr>
          <w:t>outbreak.gov.au</w:t>
        </w:r>
      </w:hyperlink>
      <w:r w:rsidRPr="00F549BF">
        <w:t>.</w:t>
      </w:r>
    </w:p>
    <w:p w14:paraId="7E660066" w14:textId="77777777" w:rsidR="00DE0AAE" w:rsidRDefault="00DE0AAE">
      <w:pPr>
        <w:pStyle w:val="Normalsmall"/>
        <w:spacing w:after="0"/>
      </w:pPr>
      <w:r w:rsidRPr="00DE0AAE">
        <w:t>Department of Agriculture, Fisheries and Forestry</w:t>
      </w:r>
    </w:p>
    <w:p w14:paraId="2A2A3EEB" w14:textId="77777777" w:rsidR="00764D6A" w:rsidRPr="00364A4A" w:rsidRDefault="00E91D72">
      <w:pPr>
        <w:pStyle w:val="Normalsmall"/>
        <w:spacing w:after="0"/>
      </w:pPr>
      <w:r w:rsidRPr="00364A4A">
        <w:t>GPO Box 858 Canberra ACT 2601</w:t>
      </w:r>
    </w:p>
    <w:p w14:paraId="31BC8C92" w14:textId="77777777" w:rsidR="00764D6A" w:rsidRPr="00364A4A" w:rsidRDefault="00E91D72">
      <w:pPr>
        <w:pStyle w:val="Normalsmall"/>
        <w:spacing w:after="0"/>
      </w:pPr>
      <w:r w:rsidRPr="00364A4A">
        <w:t>Telephone 1800 900 090</w:t>
      </w:r>
    </w:p>
    <w:p w14:paraId="296996A8" w14:textId="77777777" w:rsidR="00764D6A" w:rsidRPr="00364A4A" w:rsidRDefault="00E91D72">
      <w:pPr>
        <w:pStyle w:val="Normalsmall"/>
      </w:pPr>
      <w:r w:rsidRPr="00364A4A">
        <w:t xml:space="preserve">Web </w:t>
      </w:r>
      <w:hyperlink r:id="rId15" w:history="1">
        <w:r w:rsidR="00DE0AAE" w:rsidRPr="00364A4A">
          <w:rPr>
            <w:rStyle w:val="Hyperlink"/>
          </w:rPr>
          <w:t>agriculture.gov.au</w:t>
        </w:r>
      </w:hyperlink>
    </w:p>
    <w:p w14:paraId="52C567CC" w14:textId="77777777" w:rsidR="007C358A" w:rsidRDefault="007C358A" w:rsidP="00894031">
      <w:pPr>
        <w:pStyle w:val="Normalsmall"/>
        <w:spacing w:after="0"/>
      </w:pPr>
      <w:r w:rsidRPr="00364A4A">
        <w:rPr>
          <w:rStyle w:val="Strong"/>
        </w:rPr>
        <w:t>Disclaimer</w:t>
      </w:r>
    </w:p>
    <w:p w14:paraId="7A2BE2DC" w14:textId="77777777" w:rsidR="00764D6A" w:rsidRDefault="00E91D72">
      <w:pPr>
        <w:pStyle w:val="Normalsmall"/>
      </w:pPr>
      <w:r>
        <w:t xml:space="preserve">The Australian Government acting through the </w:t>
      </w:r>
      <w:r w:rsidR="00DE0AAE" w:rsidRPr="00DE0AAE">
        <w:t>Department of Agriculture, Fisheries and Forestry</w:t>
      </w:r>
      <w:r>
        <w:t xml:space="preserve"> has exercised due care and skill in preparing and compiling the information and data in this publication. Notwithstanding, the </w:t>
      </w:r>
      <w:r w:rsidR="00DE0AAE" w:rsidRPr="00DE0AAE">
        <w:t>Department of Agriculture, Fisheries and Forestry</w:t>
      </w:r>
      <w:r>
        <w:t>,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00AB0564" w14:textId="77777777" w:rsidR="00764D6A" w:rsidRDefault="00E91D72" w:rsidP="00894031">
      <w:pPr>
        <w:pStyle w:val="Normalsmall"/>
        <w:spacing w:after="0"/>
        <w:rPr>
          <w:rStyle w:val="Strong"/>
          <w:highlight w:val="yellow"/>
        </w:rPr>
      </w:pPr>
      <w:r w:rsidRPr="00894031">
        <w:rPr>
          <w:rStyle w:val="Strong"/>
        </w:rPr>
        <w:t>Acknowledgements</w:t>
      </w:r>
    </w:p>
    <w:p w14:paraId="3BFA7D5C" w14:textId="7948E1EE" w:rsidR="00764D6A" w:rsidRDefault="00F36371">
      <w:pPr>
        <w:pStyle w:val="Normalsmall"/>
      </w:pPr>
      <w:r>
        <w:t>The BIPIM is produced by the National Biosecurity Communication and Engagement Network (NBCEN). NBCEN is made up of agricultural health organisations and communication representatives from the Australian Government and state and territory agencies responsible for biosecurity.</w:t>
      </w:r>
    </w:p>
    <w:p w14:paraId="13A7F676" w14:textId="77777777" w:rsidR="00B02B9B" w:rsidRDefault="00B02B9B" w:rsidP="00894031">
      <w:pPr>
        <w:pStyle w:val="Normalsmall"/>
        <w:spacing w:after="0"/>
      </w:pPr>
      <w:r>
        <w:rPr>
          <w:rStyle w:val="Strong"/>
        </w:rPr>
        <w:t>Acknowledgement of Country</w:t>
      </w:r>
    </w:p>
    <w:p w14:paraId="2DA6C91C" w14:textId="77777777" w:rsidR="00517A68" w:rsidRDefault="00DE21ED" w:rsidP="00432172">
      <w:pPr>
        <w:pStyle w:val="Normalsmall"/>
      </w:pPr>
      <w:r w:rsidRPr="00DE21ED">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0706466C" w14:textId="506077D9" w:rsidR="00F36371" w:rsidRDefault="00F36371" w:rsidP="00F36371">
      <w:pPr>
        <w:pStyle w:val="Normalsmall"/>
        <w:spacing w:after="0"/>
      </w:pPr>
      <w:r>
        <w:rPr>
          <w:rStyle w:val="Strong"/>
        </w:rPr>
        <w:t>Important information</w:t>
      </w:r>
    </w:p>
    <w:p w14:paraId="042341F9" w14:textId="77777777" w:rsidR="005C121B" w:rsidRDefault="00F36371" w:rsidP="00F36371">
      <w:pPr>
        <w:pStyle w:val="Normalsmall"/>
        <w:spacing w:after="0"/>
      </w:pPr>
      <w:r>
        <w:t>Emergency Animal Disease Hotline 1800 675 888</w:t>
      </w:r>
    </w:p>
    <w:p w14:paraId="310DE4C1" w14:textId="77777777" w:rsidR="005C121B" w:rsidRDefault="00F36371" w:rsidP="00F36371">
      <w:pPr>
        <w:pStyle w:val="Normalsmall"/>
        <w:spacing w:after="0"/>
      </w:pPr>
      <w:r>
        <w:t>Exotic Plant Pest Hotline 1800 084 881</w:t>
      </w:r>
    </w:p>
    <w:p w14:paraId="1DA2BBAB" w14:textId="57A6B22A" w:rsidR="00F36371" w:rsidRDefault="00F36371" w:rsidP="00F36371">
      <w:pPr>
        <w:pStyle w:val="Normalsmall"/>
      </w:pPr>
      <w:r>
        <w:t xml:space="preserve">National pest and disease outbreaks website </w:t>
      </w:r>
      <w:r w:rsidRPr="00F36371">
        <w:rPr>
          <w:rStyle w:val="Hyperlink"/>
        </w:rPr>
        <w:t>outbreak.gov.au</w:t>
      </w:r>
    </w:p>
    <w:p w14:paraId="727E1282" w14:textId="77777777" w:rsidR="00E4637D" w:rsidRPr="008B454F" w:rsidRDefault="00E4637D" w:rsidP="00E4637D">
      <w:pPr>
        <w:pStyle w:val="Normalsmall"/>
        <w:spacing w:after="0"/>
        <w:rPr>
          <w:rStyle w:val="Strong"/>
        </w:rPr>
      </w:pPr>
      <w:r w:rsidRPr="008B454F">
        <w:rPr>
          <w:rStyle w:val="Strong"/>
        </w:rPr>
        <w:t>Credits</w:t>
      </w:r>
    </w:p>
    <w:p w14:paraId="6998EF2C" w14:textId="000C8AFB" w:rsidR="00E4637D" w:rsidRDefault="00E4637D" w:rsidP="00432172">
      <w:pPr>
        <w:pStyle w:val="Normalsmall"/>
      </w:pPr>
      <w:r w:rsidRPr="00F549BF">
        <w:t>Cover photo: ©</w:t>
      </w:r>
      <w:r w:rsidR="67AA65EB" w:rsidRPr="00F549BF">
        <w:t xml:space="preserve"> </w:t>
      </w:r>
      <w:r w:rsidR="002E6038" w:rsidRPr="00F549BF">
        <w:t>Banan</w:t>
      </w:r>
      <w:r w:rsidR="002E6038">
        <w:t xml:space="preserve">a plantation inspection. </w:t>
      </w:r>
      <w:r w:rsidR="001A1CEC">
        <w:t>Queensland Department of Primary Industries</w:t>
      </w:r>
      <w:r w:rsidR="00F549BF">
        <w:t>.</w:t>
      </w:r>
    </w:p>
    <w:p w14:paraId="7B5D2CB6" w14:textId="45CC335A" w:rsidR="001A480C" w:rsidRPr="00F36371" w:rsidRDefault="001A480C" w:rsidP="00F36371">
      <w:pPr>
        <w:pStyle w:val="Normalsmall"/>
        <w:spacing w:after="0"/>
        <w:rPr>
          <w:b/>
          <w:bCs/>
        </w:rPr>
      </w:pPr>
      <w:r w:rsidRPr="00DF2870">
        <w:rPr>
          <w:rStyle w:val="Strong"/>
        </w:rPr>
        <w:t>Version control</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848"/>
        <w:gridCol w:w="972"/>
        <w:gridCol w:w="3624"/>
        <w:gridCol w:w="3626"/>
      </w:tblGrid>
      <w:tr w:rsidR="00F36371" w:rsidRPr="00C57235" w14:paraId="20260480" w14:textId="77777777" w:rsidTr="00F36371">
        <w:trPr>
          <w:cantSplit/>
          <w:tblHeader/>
        </w:trPr>
        <w:tc>
          <w:tcPr>
            <w:tcW w:w="467" w:type="pct"/>
          </w:tcPr>
          <w:p w14:paraId="3FDC1590" w14:textId="048B1AA6" w:rsidR="00F36371" w:rsidRPr="00C57235" w:rsidRDefault="00F36371" w:rsidP="0050004E">
            <w:pPr>
              <w:pStyle w:val="TableHeading"/>
            </w:pPr>
            <w:bookmarkStart w:id="0" w:name="Title_Document_control"/>
            <w:bookmarkEnd w:id="0"/>
            <w:r w:rsidRPr="00C57235">
              <w:t>Version</w:t>
            </w:r>
          </w:p>
        </w:tc>
        <w:tc>
          <w:tcPr>
            <w:tcW w:w="536" w:type="pct"/>
          </w:tcPr>
          <w:p w14:paraId="40893A87" w14:textId="217A1C53" w:rsidR="00F36371" w:rsidRPr="00C57235" w:rsidRDefault="00F36371" w:rsidP="0050004E">
            <w:pPr>
              <w:pStyle w:val="TableHeading"/>
            </w:pPr>
            <w:r>
              <w:t>Date of issue</w:t>
            </w:r>
          </w:p>
        </w:tc>
        <w:tc>
          <w:tcPr>
            <w:tcW w:w="1998" w:type="pct"/>
          </w:tcPr>
          <w:p w14:paraId="63E4FC45" w14:textId="609A2B01" w:rsidR="00F36371" w:rsidRPr="00C57235" w:rsidRDefault="00F36371" w:rsidP="0050004E">
            <w:pPr>
              <w:pStyle w:val="TableHeading"/>
            </w:pPr>
            <w:r>
              <w:t>Author</w:t>
            </w:r>
          </w:p>
        </w:tc>
        <w:tc>
          <w:tcPr>
            <w:tcW w:w="1999" w:type="pct"/>
          </w:tcPr>
          <w:p w14:paraId="6B9722FC" w14:textId="7A5B3FA0" w:rsidR="00F36371" w:rsidRPr="00C57235" w:rsidRDefault="00F36371" w:rsidP="0050004E">
            <w:pPr>
              <w:pStyle w:val="TableHeading"/>
            </w:pPr>
            <w:r>
              <w:t>Comments</w:t>
            </w:r>
          </w:p>
        </w:tc>
      </w:tr>
      <w:tr w:rsidR="00F36371" w:rsidRPr="00C57235" w14:paraId="6BF43C04" w14:textId="77777777" w:rsidTr="00F36371">
        <w:tc>
          <w:tcPr>
            <w:tcW w:w="467" w:type="pct"/>
          </w:tcPr>
          <w:p w14:paraId="5D69DA83" w14:textId="5AAE68DD" w:rsidR="00F36371" w:rsidRPr="00742F2A" w:rsidRDefault="00F36371" w:rsidP="0050004E">
            <w:pPr>
              <w:pStyle w:val="TableText"/>
            </w:pPr>
            <w:r w:rsidRPr="00742F2A">
              <w:t>V1.0</w:t>
            </w:r>
          </w:p>
        </w:tc>
        <w:tc>
          <w:tcPr>
            <w:tcW w:w="536" w:type="pct"/>
          </w:tcPr>
          <w:p w14:paraId="6D876C01" w14:textId="7934107F" w:rsidR="00F36371" w:rsidRPr="00742F2A" w:rsidRDefault="00F36371" w:rsidP="0050004E">
            <w:pPr>
              <w:pStyle w:val="TableText"/>
            </w:pPr>
            <w:r w:rsidRPr="00742F2A">
              <w:t>April 2014</w:t>
            </w:r>
          </w:p>
        </w:tc>
        <w:tc>
          <w:tcPr>
            <w:tcW w:w="1998" w:type="pct"/>
          </w:tcPr>
          <w:p w14:paraId="65EAD26F" w14:textId="69095E58" w:rsidR="00F36371" w:rsidRPr="00742F2A" w:rsidRDefault="00F36371" w:rsidP="0050004E">
            <w:pPr>
              <w:pStyle w:val="TableText"/>
            </w:pPr>
            <w:r w:rsidRPr="00742F2A">
              <w:t>Biosecurity Incident National Communication Network (NCN)</w:t>
            </w:r>
          </w:p>
        </w:tc>
        <w:tc>
          <w:tcPr>
            <w:tcW w:w="1999" w:type="pct"/>
          </w:tcPr>
          <w:p w14:paraId="7F474378" w14:textId="68590711" w:rsidR="00F36371" w:rsidRPr="00AE7380" w:rsidRDefault="00F36371" w:rsidP="0050004E">
            <w:pPr>
              <w:pStyle w:val="TableText"/>
              <w:rPr>
                <w:highlight w:val="yellow"/>
              </w:rPr>
            </w:pPr>
            <w:r w:rsidRPr="00F36371">
              <w:t>Endorsed by the National Biosecurity Committee February 2014</w:t>
            </w:r>
          </w:p>
        </w:tc>
      </w:tr>
      <w:tr w:rsidR="00F36371" w:rsidRPr="00C57235" w14:paraId="247045B5" w14:textId="77777777" w:rsidTr="00F36371">
        <w:tc>
          <w:tcPr>
            <w:tcW w:w="467" w:type="pct"/>
          </w:tcPr>
          <w:p w14:paraId="6C8AA302" w14:textId="5F442920" w:rsidR="00F36371" w:rsidRPr="00742F2A" w:rsidRDefault="00F36371" w:rsidP="0050004E">
            <w:pPr>
              <w:pStyle w:val="TableText"/>
            </w:pPr>
            <w:r w:rsidRPr="00742F2A">
              <w:t>V2.0</w:t>
            </w:r>
          </w:p>
        </w:tc>
        <w:tc>
          <w:tcPr>
            <w:tcW w:w="536" w:type="pct"/>
          </w:tcPr>
          <w:p w14:paraId="13AF552D" w14:textId="3A596A38" w:rsidR="00F36371" w:rsidRPr="00742F2A" w:rsidRDefault="00F36371" w:rsidP="0050004E">
            <w:pPr>
              <w:pStyle w:val="TableText"/>
            </w:pPr>
            <w:r w:rsidRPr="00742F2A">
              <w:t>May 2018</w:t>
            </w:r>
          </w:p>
        </w:tc>
        <w:tc>
          <w:tcPr>
            <w:tcW w:w="1998" w:type="pct"/>
          </w:tcPr>
          <w:p w14:paraId="6629C476" w14:textId="7A98E27A" w:rsidR="00F36371" w:rsidRPr="00742F2A" w:rsidRDefault="00F36371" w:rsidP="0050004E">
            <w:pPr>
              <w:pStyle w:val="TableText"/>
            </w:pPr>
            <w:r w:rsidRPr="00742F2A">
              <w:t>NBCEN</w:t>
            </w:r>
          </w:p>
        </w:tc>
        <w:tc>
          <w:tcPr>
            <w:tcW w:w="1999" w:type="pct"/>
          </w:tcPr>
          <w:p w14:paraId="48634C3B" w14:textId="187E216F" w:rsidR="00F36371" w:rsidRPr="00AE7380" w:rsidRDefault="00F36371" w:rsidP="0050004E">
            <w:pPr>
              <w:pStyle w:val="TableText"/>
              <w:rPr>
                <w:highlight w:val="yellow"/>
              </w:rPr>
            </w:pPr>
            <w:r w:rsidRPr="00F36371">
              <w:t>Endorsed by NBCEN November 2017</w:t>
            </w:r>
          </w:p>
        </w:tc>
      </w:tr>
      <w:tr w:rsidR="00F36371" w:rsidRPr="00C57235" w14:paraId="421CBCAD" w14:textId="77777777" w:rsidTr="00F36371">
        <w:tc>
          <w:tcPr>
            <w:tcW w:w="467" w:type="pct"/>
          </w:tcPr>
          <w:p w14:paraId="18615481" w14:textId="558B64CA" w:rsidR="00F36371" w:rsidRPr="00742F2A" w:rsidRDefault="00F36371" w:rsidP="0050004E">
            <w:pPr>
              <w:pStyle w:val="TableText"/>
            </w:pPr>
            <w:r w:rsidRPr="00742F2A">
              <w:t>V3.0</w:t>
            </w:r>
          </w:p>
        </w:tc>
        <w:tc>
          <w:tcPr>
            <w:tcW w:w="536" w:type="pct"/>
          </w:tcPr>
          <w:p w14:paraId="53113A3A" w14:textId="17ABE79A" w:rsidR="00F36371" w:rsidRPr="00742F2A" w:rsidRDefault="00F40BF7" w:rsidP="0050004E">
            <w:pPr>
              <w:pStyle w:val="TableText"/>
            </w:pPr>
            <w:r>
              <w:t>June</w:t>
            </w:r>
            <w:r w:rsidR="00F36371" w:rsidRPr="00742F2A">
              <w:t xml:space="preserve"> 2026</w:t>
            </w:r>
          </w:p>
        </w:tc>
        <w:tc>
          <w:tcPr>
            <w:tcW w:w="1998" w:type="pct"/>
          </w:tcPr>
          <w:p w14:paraId="56F39BA2" w14:textId="0A414223" w:rsidR="00F36371" w:rsidRPr="00742F2A" w:rsidRDefault="00F36371" w:rsidP="0050004E">
            <w:pPr>
              <w:pStyle w:val="TableText"/>
            </w:pPr>
            <w:r w:rsidRPr="00742F2A">
              <w:t>NBCEN</w:t>
            </w:r>
          </w:p>
        </w:tc>
        <w:tc>
          <w:tcPr>
            <w:tcW w:w="1999" w:type="pct"/>
          </w:tcPr>
          <w:p w14:paraId="5AA68A83" w14:textId="2B5AFD29" w:rsidR="00F36371" w:rsidRPr="00AE7380" w:rsidRDefault="00F36371" w:rsidP="0050004E">
            <w:pPr>
              <w:pStyle w:val="TableText"/>
              <w:rPr>
                <w:highlight w:val="yellow"/>
              </w:rPr>
            </w:pPr>
            <w:r w:rsidRPr="00F36371">
              <w:t xml:space="preserve">Endorsed by NBCEN </w:t>
            </w:r>
            <w:r>
              <w:t>March 20</w:t>
            </w:r>
            <w:r w:rsidR="02A472A6">
              <w:t>2</w:t>
            </w:r>
            <w:r>
              <w:t>6</w:t>
            </w:r>
          </w:p>
        </w:tc>
      </w:tr>
    </w:tbl>
    <w:p w14:paraId="0EC09AF9" w14:textId="4EDE0055" w:rsidR="00764D6A" w:rsidRDefault="00E91D72">
      <w:pPr>
        <w:spacing w:after="0" w:line="240" w:lineRule="auto"/>
      </w:pPr>
      <w:r>
        <w:br w:type="page"/>
      </w:r>
    </w:p>
    <w:sdt>
      <w:sdtPr>
        <w:rPr>
          <w:rFonts w:ascii="Cambria" w:eastAsiaTheme="minorHAnsi" w:hAnsi="Cambria"/>
          <w:b/>
          <w:bCs w:val="0"/>
          <w:noProof/>
          <w:sz w:val="22"/>
          <w:szCs w:val="22"/>
          <w:lang w:eastAsia="en-US"/>
        </w:rPr>
        <w:id w:val="-760297017"/>
        <w:docPartObj>
          <w:docPartGallery w:val="Table of Contents"/>
          <w:docPartUnique/>
        </w:docPartObj>
      </w:sdtPr>
      <w:sdtEndPr>
        <w:rPr>
          <w:rFonts w:asciiTheme="minorHAnsi" w:hAnsiTheme="minorHAnsi"/>
        </w:rPr>
      </w:sdtEndPr>
      <w:sdtContent>
        <w:p w14:paraId="0E060B71" w14:textId="3EEEF709" w:rsidR="00764D6A" w:rsidRDefault="00E91D72">
          <w:pPr>
            <w:pStyle w:val="TOCHeading"/>
          </w:pPr>
          <w:r>
            <w:t>Contents</w:t>
          </w:r>
        </w:p>
        <w:p w14:paraId="1778FD0A" w14:textId="2BB2F9ED" w:rsidR="006B3F5B" w:rsidRDefault="00E91D72">
          <w:pPr>
            <w:pStyle w:val="TOC1"/>
            <w:rPr>
              <w:rFonts w:eastAsiaTheme="minorEastAsia"/>
              <w:b w:val="0"/>
              <w:kern w:val="2"/>
              <w:sz w:val="24"/>
              <w:szCs w:val="24"/>
              <w:lang w:eastAsia="en-GB"/>
              <w14:ligatures w14:val="standardContextual"/>
            </w:rPr>
          </w:pPr>
          <w:r>
            <w:rPr>
              <w:b w:val="0"/>
            </w:rPr>
            <w:fldChar w:fldCharType="begin"/>
          </w:r>
          <w:r>
            <w:rPr>
              <w:b w:val="0"/>
            </w:rPr>
            <w:instrText xml:space="preserve"> TOC \h \z \u \t "Heading 2,1,Heading 3,2,Style1,2,TOA Heading,1" </w:instrText>
          </w:r>
          <w:r>
            <w:rPr>
              <w:b w:val="0"/>
            </w:rPr>
            <w:fldChar w:fldCharType="separate"/>
          </w:r>
          <w:hyperlink w:anchor="_Toc230893528" w:history="1">
            <w:r w:rsidR="006B3F5B" w:rsidRPr="00EA140B">
              <w:rPr>
                <w:rStyle w:val="Hyperlink"/>
              </w:rPr>
              <w:t>Introduction</w:t>
            </w:r>
            <w:r w:rsidR="006B3F5B">
              <w:rPr>
                <w:webHidden/>
              </w:rPr>
              <w:tab/>
            </w:r>
            <w:r w:rsidR="006B3F5B">
              <w:rPr>
                <w:webHidden/>
              </w:rPr>
              <w:fldChar w:fldCharType="begin"/>
            </w:r>
            <w:r w:rsidR="006B3F5B">
              <w:rPr>
                <w:webHidden/>
              </w:rPr>
              <w:instrText xml:space="preserve"> PAGEREF _Toc230893528 \h </w:instrText>
            </w:r>
            <w:r w:rsidR="006B3F5B">
              <w:rPr>
                <w:webHidden/>
              </w:rPr>
            </w:r>
            <w:r w:rsidR="006B3F5B">
              <w:rPr>
                <w:webHidden/>
              </w:rPr>
              <w:fldChar w:fldCharType="separate"/>
            </w:r>
            <w:r w:rsidR="006B3F5B">
              <w:rPr>
                <w:webHidden/>
              </w:rPr>
              <w:t>4</w:t>
            </w:r>
            <w:r w:rsidR="006B3F5B">
              <w:rPr>
                <w:webHidden/>
              </w:rPr>
              <w:fldChar w:fldCharType="end"/>
            </w:r>
          </w:hyperlink>
        </w:p>
        <w:p w14:paraId="17902E65" w14:textId="5FBD7773" w:rsidR="006B3F5B" w:rsidRDefault="006B3F5B">
          <w:pPr>
            <w:pStyle w:val="TOC1"/>
            <w:rPr>
              <w:rFonts w:eastAsiaTheme="minorEastAsia"/>
              <w:b w:val="0"/>
              <w:kern w:val="2"/>
              <w:sz w:val="24"/>
              <w:szCs w:val="24"/>
              <w:lang w:eastAsia="en-GB"/>
              <w14:ligatures w14:val="standardContextual"/>
            </w:rPr>
          </w:pPr>
          <w:hyperlink w:anchor="_Toc230893529" w:history="1">
            <w:r w:rsidRPr="00EA140B">
              <w:rPr>
                <w:rStyle w:val="Hyperlink"/>
              </w:rPr>
              <w:t>Using the BIPIM</w:t>
            </w:r>
            <w:r>
              <w:rPr>
                <w:webHidden/>
              </w:rPr>
              <w:tab/>
            </w:r>
            <w:r>
              <w:rPr>
                <w:webHidden/>
              </w:rPr>
              <w:fldChar w:fldCharType="begin"/>
            </w:r>
            <w:r>
              <w:rPr>
                <w:webHidden/>
              </w:rPr>
              <w:instrText xml:space="preserve"> PAGEREF _Toc230893529 \h </w:instrText>
            </w:r>
            <w:r>
              <w:rPr>
                <w:webHidden/>
              </w:rPr>
            </w:r>
            <w:r>
              <w:rPr>
                <w:webHidden/>
              </w:rPr>
              <w:fldChar w:fldCharType="separate"/>
            </w:r>
            <w:r>
              <w:rPr>
                <w:webHidden/>
              </w:rPr>
              <w:t>5</w:t>
            </w:r>
            <w:r>
              <w:rPr>
                <w:webHidden/>
              </w:rPr>
              <w:fldChar w:fldCharType="end"/>
            </w:r>
          </w:hyperlink>
        </w:p>
        <w:p w14:paraId="1150904B" w14:textId="43029135" w:rsidR="006B3F5B" w:rsidRDefault="006B3F5B">
          <w:pPr>
            <w:pStyle w:val="TOC2"/>
            <w:rPr>
              <w:rFonts w:eastAsiaTheme="minorEastAsia"/>
              <w:kern w:val="2"/>
              <w:sz w:val="24"/>
              <w:szCs w:val="24"/>
              <w:lang w:eastAsia="en-GB"/>
              <w14:ligatures w14:val="standardContextual"/>
            </w:rPr>
          </w:pPr>
          <w:hyperlink w:anchor="_Toc230893530" w:history="1">
            <w:r w:rsidRPr="00EA140B">
              <w:rPr>
                <w:rStyle w:val="Hyperlink"/>
              </w:rPr>
              <w:t>Who it’s for</w:t>
            </w:r>
            <w:r>
              <w:rPr>
                <w:webHidden/>
              </w:rPr>
              <w:tab/>
            </w:r>
            <w:r>
              <w:rPr>
                <w:webHidden/>
              </w:rPr>
              <w:fldChar w:fldCharType="begin"/>
            </w:r>
            <w:r>
              <w:rPr>
                <w:webHidden/>
              </w:rPr>
              <w:instrText xml:space="preserve"> PAGEREF _Toc230893530 \h </w:instrText>
            </w:r>
            <w:r>
              <w:rPr>
                <w:webHidden/>
              </w:rPr>
            </w:r>
            <w:r>
              <w:rPr>
                <w:webHidden/>
              </w:rPr>
              <w:fldChar w:fldCharType="separate"/>
            </w:r>
            <w:r>
              <w:rPr>
                <w:webHidden/>
              </w:rPr>
              <w:t>5</w:t>
            </w:r>
            <w:r>
              <w:rPr>
                <w:webHidden/>
              </w:rPr>
              <w:fldChar w:fldCharType="end"/>
            </w:r>
          </w:hyperlink>
        </w:p>
        <w:p w14:paraId="5ABC382E" w14:textId="361F386F" w:rsidR="006B3F5B" w:rsidRDefault="006B3F5B">
          <w:pPr>
            <w:pStyle w:val="TOC2"/>
            <w:rPr>
              <w:rFonts w:eastAsiaTheme="minorEastAsia"/>
              <w:kern w:val="2"/>
              <w:sz w:val="24"/>
              <w:szCs w:val="24"/>
              <w:lang w:eastAsia="en-GB"/>
              <w14:ligatures w14:val="standardContextual"/>
            </w:rPr>
          </w:pPr>
          <w:hyperlink w:anchor="_Toc230893531" w:history="1">
            <w:r w:rsidRPr="00EA140B">
              <w:rPr>
                <w:rStyle w:val="Hyperlink"/>
                <w:lang w:eastAsia="ja-JP"/>
              </w:rPr>
              <w:t>What’s in it</w:t>
            </w:r>
            <w:r>
              <w:rPr>
                <w:webHidden/>
              </w:rPr>
              <w:tab/>
            </w:r>
            <w:r>
              <w:rPr>
                <w:webHidden/>
              </w:rPr>
              <w:fldChar w:fldCharType="begin"/>
            </w:r>
            <w:r>
              <w:rPr>
                <w:webHidden/>
              </w:rPr>
              <w:instrText xml:space="preserve"> PAGEREF _Toc230893531 \h </w:instrText>
            </w:r>
            <w:r>
              <w:rPr>
                <w:webHidden/>
              </w:rPr>
            </w:r>
            <w:r>
              <w:rPr>
                <w:webHidden/>
              </w:rPr>
              <w:fldChar w:fldCharType="separate"/>
            </w:r>
            <w:r>
              <w:rPr>
                <w:webHidden/>
              </w:rPr>
              <w:t>5</w:t>
            </w:r>
            <w:r>
              <w:rPr>
                <w:webHidden/>
              </w:rPr>
              <w:fldChar w:fldCharType="end"/>
            </w:r>
          </w:hyperlink>
        </w:p>
        <w:p w14:paraId="01C419A0" w14:textId="255D1FD7" w:rsidR="006B3F5B" w:rsidRDefault="006B3F5B">
          <w:pPr>
            <w:pStyle w:val="TOC1"/>
            <w:rPr>
              <w:rFonts w:eastAsiaTheme="minorEastAsia"/>
              <w:b w:val="0"/>
              <w:kern w:val="2"/>
              <w:sz w:val="24"/>
              <w:szCs w:val="24"/>
              <w:lang w:eastAsia="en-GB"/>
              <w14:ligatures w14:val="standardContextual"/>
            </w:rPr>
          </w:pPr>
          <w:hyperlink w:anchor="_Toc230893532" w:history="1">
            <w:r w:rsidRPr="00EA140B">
              <w:rPr>
                <w:rStyle w:val="Hyperlink"/>
              </w:rPr>
              <w:t>Why public information is important in an incident</w:t>
            </w:r>
            <w:r>
              <w:rPr>
                <w:webHidden/>
              </w:rPr>
              <w:tab/>
            </w:r>
            <w:r>
              <w:rPr>
                <w:webHidden/>
              </w:rPr>
              <w:fldChar w:fldCharType="begin"/>
            </w:r>
            <w:r>
              <w:rPr>
                <w:webHidden/>
              </w:rPr>
              <w:instrText xml:space="preserve"> PAGEREF _Toc230893532 \h </w:instrText>
            </w:r>
            <w:r>
              <w:rPr>
                <w:webHidden/>
              </w:rPr>
            </w:r>
            <w:r>
              <w:rPr>
                <w:webHidden/>
              </w:rPr>
              <w:fldChar w:fldCharType="separate"/>
            </w:r>
            <w:r>
              <w:rPr>
                <w:webHidden/>
              </w:rPr>
              <w:t>6</w:t>
            </w:r>
            <w:r>
              <w:rPr>
                <w:webHidden/>
              </w:rPr>
              <w:fldChar w:fldCharType="end"/>
            </w:r>
          </w:hyperlink>
        </w:p>
        <w:p w14:paraId="5B17CB97" w14:textId="60254FF5" w:rsidR="006B3F5B" w:rsidRDefault="006B3F5B">
          <w:pPr>
            <w:pStyle w:val="TOC2"/>
            <w:rPr>
              <w:rFonts w:eastAsiaTheme="minorEastAsia"/>
              <w:kern w:val="2"/>
              <w:sz w:val="24"/>
              <w:szCs w:val="24"/>
              <w:lang w:eastAsia="en-GB"/>
              <w14:ligatures w14:val="standardContextual"/>
            </w:rPr>
          </w:pPr>
          <w:hyperlink w:anchor="_Toc230893533" w:history="1">
            <w:r w:rsidRPr="00EA140B">
              <w:rPr>
                <w:rStyle w:val="Hyperlink"/>
                <w:lang w:eastAsia="ja-JP"/>
              </w:rPr>
              <w:t>Impacts of biosecurity incidents</w:t>
            </w:r>
            <w:r>
              <w:rPr>
                <w:webHidden/>
              </w:rPr>
              <w:tab/>
            </w:r>
            <w:r>
              <w:rPr>
                <w:webHidden/>
              </w:rPr>
              <w:fldChar w:fldCharType="begin"/>
            </w:r>
            <w:r>
              <w:rPr>
                <w:webHidden/>
              </w:rPr>
              <w:instrText xml:space="preserve"> PAGEREF _Toc230893533 \h </w:instrText>
            </w:r>
            <w:r>
              <w:rPr>
                <w:webHidden/>
              </w:rPr>
            </w:r>
            <w:r>
              <w:rPr>
                <w:webHidden/>
              </w:rPr>
              <w:fldChar w:fldCharType="separate"/>
            </w:r>
            <w:r>
              <w:rPr>
                <w:webHidden/>
              </w:rPr>
              <w:t>7</w:t>
            </w:r>
            <w:r>
              <w:rPr>
                <w:webHidden/>
              </w:rPr>
              <w:fldChar w:fldCharType="end"/>
            </w:r>
          </w:hyperlink>
        </w:p>
        <w:p w14:paraId="3AEA501A" w14:textId="5476CCB6" w:rsidR="006B3F5B" w:rsidRDefault="006B3F5B">
          <w:pPr>
            <w:pStyle w:val="TOC2"/>
            <w:rPr>
              <w:rFonts w:eastAsiaTheme="minorEastAsia"/>
              <w:kern w:val="2"/>
              <w:sz w:val="24"/>
              <w:szCs w:val="24"/>
              <w:lang w:eastAsia="en-GB"/>
              <w14:ligatures w14:val="standardContextual"/>
            </w:rPr>
          </w:pPr>
          <w:hyperlink w:anchor="_Toc230893534" w:history="1">
            <w:r w:rsidRPr="00EA140B">
              <w:rPr>
                <w:rStyle w:val="Hyperlink"/>
                <w:lang w:eastAsia="ja-JP"/>
              </w:rPr>
              <w:t>Incidents involving animals</w:t>
            </w:r>
            <w:r>
              <w:rPr>
                <w:webHidden/>
              </w:rPr>
              <w:tab/>
            </w:r>
            <w:r>
              <w:rPr>
                <w:webHidden/>
              </w:rPr>
              <w:fldChar w:fldCharType="begin"/>
            </w:r>
            <w:r>
              <w:rPr>
                <w:webHidden/>
              </w:rPr>
              <w:instrText xml:space="preserve"> PAGEREF _Toc230893534 \h </w:instrText>
            </w:r>
            <w:r>
              <w:rPr>
                <w:webHidden/>
              </w:rPr>
            </w:r>
            <w:r>
              <w:rPr>
                <w:webHidden/>
              </w:rPr>
              <w:fldChar w:fldCharType="separate"/>
            </w:r>
            <w:r>
              <w:rPr>
                <w:webHidden/>
              </w:rPr>
              <w:t>8</w:t>
            </w:r>
            <w:r>
              <w:rPr>
                <w:webHidden/>
              </w:rPr>
              <w:fldChar w:fldCharType="end"/>
            </w:r>
          </w:hyperlink>
        </w:p>
        <w:p w14:paraId="4A0FC3AC" w14:textId="29016381" w:rsidR="006B3F5B" w:rsidRDefault="006B3F5B">
          <w:pPr>
            <w:pStyle w:val="TOC2"/>
            <w:rPr>
              <w:rFonts w:eastAsiaTheme="minorEastAsia"/>
              <w:kern w:val="2"/>
              <w:sz w:val="24"/>
              <w:szCs w:val="24"/>
              <w:lang w:eastAsia="en-GB"/>
              <w14:ligatures w14:val="standardContextual"/>
            </w:rPr>
          </w:pPr>
          <w:hyperlink w:anchor="_Toc230893535" w:history="1">
            <w:r w:rsidRPr="00EA140B">
              <w:rPr>
                <w:rStyle w:val="Hyperlink"/>
                <w:lang w:eastAsia="ja-JP"/>
              </w:rPr>
              <w:t>Language considerations</w:t>
            </w:r>
            <w:r>
              <w:rPr>
                <w:webHidden/>
              </w:rPr>
              <w:tab/>
            </w:r>
            <w:r>
              <w:rPr>
                <w:webHidden/>
              </w:rPr>
              <w:fldChar w:fldCharType="begin"/>
            </w:r>
            <w:r>
              <w:rPr>
                <w:webHidden/>
              </w:rPr>
              <w:instrText xml:space="preserve"> PAGEREF _Toc230893535 \h </w:instrText>
            </w:r>
            <w:r>
              <w:rPr>
                <w:webHidden/>
              </w:rPr>
            </w:r>
            <w:r>
              <w:rPr>
                <w:webHidden/>
              </w:rPr>
              <w:fldChar w:fldCharType="separate"/>
            </w:r>
            <w:r>
              <w:rPr>
                <w:webHidden/>
              </w:rPr>
              <w:t>8</w:t>
            </w:r>
            <w:r>
              <w:rPr>
                <w:webHidden/>
              </w:rPr>
              <w:fldChar w:fldCharType="end"/>
            </w:r>
          </w:hyperlink>
        </w:p>
        <w:p w14:paraId="59D2693C" w14:textId="4D6DAF04" w:rsidR="006B3F5B" w:rsidRDefault="006B3F5B">
          <w:pPr>
            <w:pStyle w:val="TOC1"/>
            <w:rPr>
              <w:rFonts w:eastAsiaTheme="minorEastAsia"/>
              <w:b w:val="0"/>
              <w:kern w:val="2"/>
              <w:sz w:val="24"/>
              <w:szCs w:val="24"/>
              <w:lang w:eastAsia="en-GB"/>
              <w14:ligatures w14:val="standardContextual"/>
            </w:rPr>
          </w:pPr>
          <w:hyperlink w:anchor="_Toc230893536" w:history="1">
            <w:r w:rsidRPr="00EA140B">
              <w:rPr>
                <w:rStyle w:val="Hyperlink"/>
              </w:rPr>
              <w:t>Response arrangements in Australia</w:t>
            </w:r>
            <w:r>
              <w:rPr>
                <w:webHidden/>
              </w:rPr>
              <w:tab/>
            </w:r>
            <w:r>
              <w:rPr>
                <w:webHidden/>
              </w:rPr>
              <w:fldChar w:fldCharType="begin"/>
            </w:r>
            <w:r>
              <w:rPr>
                <w:webHidden/>
              </w:rPr>
              <w:instrText xml:space="preserve"> PAGEREF _Toc230893536 \h </w:instrText>
            </w:r>
            <w:r>
              <w:rPr>
                <w:webHidden/>
              </w:rPr>
            </w:r>
            <w:r>
              <w:rPr>
                <w:webHidden/>
              </w:rPr>
              <w:fldChar w:fldCharType="separate"/>
            </w:r>
            <w:r>
              <w:rPr>
                <w:webHidden/>
              </w:rPr>
              <w:t>10</w:t>
            </w:r>
            <w:r>
              <w:rPr>
                <w:webHidden/>
              </w:rPr>
              <w:fldChar w:fldCharType="end"/>
            </w:r>
          </w:hyperlink>
        </w:p>
        <w:p w14:paraId="781C1522" w14:textId="462A283A" w:rsidR="006B3F5B" w:rsidRDefault="006B3F5B">
          <w:pPr>
            <w:pStyle w:val="TOC2"/>
            <w:rPr>
              <w:rFonts w:eastAsiaTheme="minorEastAsia"/>
              <w:kern w:val="2"/>
              <w:sz w:val="24"/>
              <w:szCs w:val="24"/>
              <w:lang w:eastAsia="en-GB"/>
              <w14:ligatures w14:val="standardContextual"/>
            </w:rPr>
          </w:pPr>
          <w:hyperlink w:anchor="_Toc230893537" w:history="1">
            <w:r w:rsidRPr="00EA140B">
              <w:rPr>
                <w:rStyle w:val="Hyperlink"/>
                <w:lang w:eastAsia="ja-JP"/>
              </w:rPr>
              <w:t>National response arrangements</w:t>
            </w:r>
            <w:r>
              <w:rPr>
                <w:webHidden/>
              </w:rPr>
              <w:tab/>
            </w:r>
            <w:r>
              <w:rPr>
                <w:webHidden/>
              </w:rPr>
              <w:fldChar w:fldCharType="begin"/>
            </w:r>
            <w:r>
              <w:rPr>
                <w:webHidden/>
              </w:rPr>
              <w:instrText xml:space="preserve"> PAGEREF _Toc230893537 \h </w:instrText>
            </w:r>
            <w:r>
              <w:rPr>
                <w:webHidden/>
              </w:rPr>
            </w:r>
            <w:r>
              <w:rPr>
                <w:webHidden/>
              </w:rPr>
              <w:fldChar w:fldCharType="separate"/>
            </w:r>
            <w:r>
              <w:rPr>
                <w:webHidden/>
              </w:rPr>
              <w:t>11</w:t>
            </w:r>
            <w:r>
              <w:rPr>
                <w:webHidden/>
              </w:rPr>
              <w:fldChar w:fldCharType="end"/>
            </w:r>
          </w:hyperlink>
        </w:p>
        <w:p w14:paraId="6863C098" w14:textId="31FB1382" w:rsidR="006B3F5B" w:rsidRDefault="006B3F5B">
          <w:pPr>
            <w:pStyle w:val="TOC2"/>
            <w:rPr>
              <w:rFonts w:eastAsiaTheme="minorEastAsia"/>
              <w:kern w:val="2"/>
              <w:sz w:val="24"/>
              <w:szCs w:val="24"/>
              <w:lang w:eastAsia="en-GB"/>
              <w14:ligatures w14:val="standardContextual"/>
            </w:rPr>
          </w:pPr>
          <w:hyperlink w:anchor="_Toc230893538" w:history="1">
            <w:r w:rsidRPr="00EA140B">
              <w:rPr>
                <w:rStyle w:val="Hyperlink"/>
                <w:lang w:eastAsia="ja-JP"/>
              </w:rPr>
              <w:t>Biosecurity incident response arrangements</w:t>
            </w:r>
            <w:r>
              <w:rPr>
                <w:webHidden/>
              </w:rPr>
              <w:tab/>
            </w:r>
            <w:r>
              <w:rPr>
                <w:webHidden/>
              </w:rPr>
              <w:fldChar w:fldCharType="begin"/>
            </w:r>
            <w:r>
              <w:rPr>
                <w:webHidden/>
              </w:rPr>
              <w:instrText xml:space="preserve"> PAGEREF _Toc230893538 \h </w:instrText>
            </w:r>
            <w:r>
              <w:rPr>
                <w:webHidden/>
              </w:rPr>
            </w:r>
            <w:r>
              <w:rPr>
                <w:webHidden/>
              </w:rPr>
              <w:fldChar w:fldCharType="separate"/>
            </w:r>
            <w:r>
              <w:rPr>
                <w:webHidden/>
              </w:rPr>
              <w:t>12</w:t>
            </w:r>
            <w:r>
              <w:rPr>
                <w:webHidden/>
              </w:rPr>
              <w:fldChar w:fldCharType="end"/>
            </w:r>
          </w:hyperlink>
        </w:p>
        <w:p w14:paraId="55E0822D" w14:textId="0A44AD79" w:rsidR="006B3F5B" w:rsidRDefault="006B3F5B">
          <w:pPr>
            <w:pStyle w:val="TOC1"/>
            <w:rPr>
              <w:rFonts w:eastAsiaTheme="minorEastAsia"/>
              <w:b w:val="0"/>
              <w:kern w:val="2"/>
              <w:sz w:val="24"/>
              <w:szCs w:val="24"/>
              <w:lang w:eastAsia="en-GB"/>
              <w14:ligatures w14:val="standardContextual"/>
            </w:rPr>
          </w:pPr>
          <w:hyperlink w:anchor="_Toc230893539" w:history="1">
            <w:r w:rsidRPr="00EA140B">
              <w:rPr>
                <w:rStyle w:val="Hyperlink"/>
              </w:rPr>
              <w:t>Public Information coordination</w:t>
            </w:r>
            <w:r>
              <w:rPr>
                <w:webHidden/>
              </w:rPr>
              <w:tab/>
            </w:r>
            <w:r>
              <w:rPr>
                <w:webHidden/>
              </w:rPr>
              <w:fldChar w:fldCharType="begin"/>
            </w:r>
            <w:r>
              <w:rPr>
                <w:webHidden/>
              </w:rPr>
              <w:instrText xml:space="preserve"> PAGEREF _Toc230893539 \h </w:instrText>
            </w:r>
            <w:r>
              <w:rPr>
                <w:webHidden/>
              </w:rPr>
            </w:r>
            <w:r>
              <w:rPr>
                <w:webHidden/>
              </w:rPr>
              <w:fldChar w:fldCharType="separate"/>
            </w:r>
            <w:r>
              <w:rPr>
                <w:webHidden/>
              </w:rPr>
              <w:t>16</w:t>
            </w:r>
            <w:r>
              <w:rPr>
                <w:webHidden/>
              </w:rPr>
              <w:fldChar w:fldCharType="end"/>
            </w:r>
          </w:hyperlink>
        </w:p>
        <w:p w14:paraId="20EED4F6" w14:textId="5F8DEA41" w:rsidR="006B3F5B" w:rsidRDefault="006B3F5B">
          <w:pPr>
            <w:pStyle w:val="TOC2"/>
            <w:rPr>
              <w:rFonts w:eastAsiaTheme="minorEastAsia"/>
              <w:kern w:val="2"/>
              <w:sz w:val="24"/>
              <w:szCs w:val="24"/>
              <w:lang w:eastAsia="en-GB"/>
              <w14:ligatures w14:val="standardContextual"/>
            </w:rPr>
          </w:pPr>
          <w:hyperlink w:anchor="_Toc230893540" w:history="1">
            <w:r w:rsidRPr="00EA140B">
              <w:rPr>
                <w:rStyle w:val="Hyperlink"/>
                <w:lang w:eastAsia="ja-JP"/>
              </w:rPr>
              <w:t>NBCEN</w:t>
            </w:r>
            <w:r>
              <w:rPr>
                <w:webHidden/>
              </w:rPr>
              <w:tab/>
            </w:r>
            <w:r>
              <w:rPr>
                <w:webHidden/>
              </w:rPr>
              <w:fldChar w:fldCharType="begin"/>
            </w:r>
            <w:r>
              <w:rPr>
                <w:webHidden/>
              </w:rPr>
              <w:instrText xml:space="preserve"> PAGEREF _Toc230893540 \h </w:instrText>
            </w:r>
            <w:r>
              <w:rPr>
                <w:webHidden/>
              </w:rPr>
            </w:r>
            <w:r>
              <w:rPr>
                <w:webHidden/>
              </w:rPr>
              <w:fldChar w:fldCharType="separate"/>
            </w:r>
            <w:r>
              <w:rPr>
                <w:webHidden/>
              </w:rPr>
              <w:t>16</w:t>
            </w:r>
            <w:r>
              <w:rPr>
                <w:webHidden/>
              </w:rPr>
              <w:fldChar w:fldCharType="end"/>
            </w:r>
          </w:hyperlink>
        </w:p>
        <w:p w14:paraId="056CA854" w14:textId="3016BB5D" w:rsidR="006B3F5B" w:rsidRDefault="006B3F5B">
          <w:pPr>
            <w:pStyle w:val="TOC2"/>
            <w:rPr>
              <w:rFonts w:eastAsiaTheme="minorEastAsia"/>
              <w:kern w:val="2"/>
              <w:sz w:val="24"/>
              <w:szCs w:val="24"/>
              <w:lang w:eastAsia="en-GB"/>
              <w14:ligatures w14:val="standardContextual"/>
            </w:rPr>
          </w:pPr>
          <w:hyperlink w:anchor="_Toc230893541" w:history="1">
            <w:r w:rsidRPr="00EA140B">
              <w:rPr>
                <w:rStyle w:val="Hyperlink"/>
                <w:lang w:eastAsia="ja-JP"/>
              </w:rPr>
              <w:t>Delivering messages between agencies and organisations</w:t>
            </w:r>
            <w:r>
              <w:rPr>
                <w:webHidden/>
              </w:rPr>
              <w:tab/>
            </w:r>
            <w:r>
              <w:rPr>
                <w:webHidden/>
              </w:rPr>
              <w:fldChar w:fldCharType="begin"/>
            </w:r>
            <w:r>
              <w:rPr>
                <w:webHidden/>
              </w:rPr>
              <w:instrText xml:space="preserve"> PAGEREF _Toc230893541 \h </w:instrText>
            </w:r>
            <w:r>
              <w:rPr>
                <w:webHidden/>
              </w:rPr>
            </w:r>
            <w:r>
              <w:rPr>
                <w:webHidden/>
              </w:rPr>
              <w:fldChar w:fldCharType="separate"/>
            </w:r>
            <w:r>
              <w:rPr>
                <w:webHidden/>
              </w:rPr>
              <w:t>17</w:t>
            </w:r>
            <w:r>
              <w:rPr>
                <w:webHidden/>
              </w:rPr>
              <w:fldChar w:fldCharType="end"/>
            </w:r>
          </w:hyperlink>
        </w:p>
        <w:p w14:paraId="34825284" w14:textId="7B8F6FF3" w:rsidR="006B3F5B" w:rsidRDefault="006B3F5B">
          <w:pPr>
            <w:pStyle w:val="TOC1"/>
            <w:rPr>
              <w:rFonts w:eastAsiaTheme="minorEastAsia"/>
              <w:b w:val="0"/>
              <w:kern w:val="2"/>
              <w:sz w:val="24"/>
              <w:szCs w:val="24"/>
              <w:lang w:eastAsia="en-GB"/>
              <w14:ligatures w14:val="standardContextual"/>
            </w:rPr>
          </w:pPr>
          <w:hyperlink w:anchor="_Toc230893542" w:history="1">
            <w:r w:rsidRPr="00EA140B">
              <w:rPr>
                <w:rStyle w:val="Hyperlink"/>
              </w:rPr>
              <w:t>Evaluation and review</w:t>
            </w:r>
            <w:r>
              <w:rPr>
                <w:webHidden/>
              </w:rPr>
              <w:tab/>
            </w:r>
            <w:r>
              <w:rPr>
                <w:webHidden/>
              </w:rPr>
              <w:fldChar w:fldCharType="begin"/>
            </w:r>
            <w:r>
              <w:rPr>
                <w:webHidden/>
              </w:rPr>
              <w:instrText xml:space="preserve"> PAGEREF _Toc230893542 \h </w:instrText>
            </w:r>
            <w:r>
              <w:rPr>
                <w:webHidden/>
              </w:rPr>
            </w:r>
            <w:r>
              <w:rPr>
                <w:webHidden/>
              </w:rPr>
              <w:fldChar w:fldCharType="separate"/>
            </w:r>
            <w:r>
              <w:rPr>
                <w:webHidden/>
              </w:rPr>
              <w:t>18</w:t>
            </w:r>
            <w:r>
              <w:rPr>
                <w:webHidden/>
              </w:rPr>
              <w:fldChar w:fldCharType="end"/>
            </w:r>
          </w:hyperlink>
        </w:p>
        <w:p w14:paraId="06A46E0B" w14:textId="0BDE63BE" w:rsidR="006B3F5B" w:rsidRDefault="006B3F5B">
          <w:pPr>
            <w:pStyle w:val="TOC2"/>
            <w:rPr>
              <w:rFonts w:eastAsiaTheme="minorEastAsia"/>
              <w:kern w:val="2"/>
              <w:sz w:val="24"/>
              <w:szCs w:val="24"/>
              <w:lang w:eastAsia="en-GB"/>
              <w14:ligatures w14:val="standardContextual"/>
            </w:rPr>
          </w:pPr>
          <w:hyperlink w:anchor="_Toc230893543" w:history="1">
            <w:r w:rsidRPr="00EA140B">
              <w:rPr>
                <w:rStyle w:val="Hyperlink"/>
                <w:lang w:eastAsia="ja-JP"/>
              </w:rPr>
              <w:t>Incident response evaluation</w:t>
            </w:r>
            <w:r>
              <w:rPr>
                <w:webHidden/>
              </w:rPr>
              <w:tab/>
            </w:r>
            <w:r>
              <w:rPr>
                <w:webHidden/>
              </w:rPr>
              <w:fldChar w:fldCharType="begin"/>
            </w:r>
            <w:r>
              <w:rPr>
                <w:webHidden/>
              </w:rPr>
              <w:instrText xml:space="preserve"> PAGEREF _Toc230893543 \h </w:instrText>
            </w:r>
            <w:r>
              <w:rPr>
                <w:webHidden/>
              </w:rPr>
            </w:r>
            <w:r>
              <w:rPr>
                <w:webHidden/>
              </w:rPr>
              <w:fldChar w:fldCharType="separate"/>
            </w:r>
            <w:r>
              <w:rPr>
                <w:webHidden/>
              </w:rPr>
              <w:t>18</w:t>
            </w:r>
            <w:r>
              <w:rPr>
                <w:webHidden/>
              </w:rPr>
              <w:fldChar w:fldCharType="end"/>
            </w:r>
          </w:hyperlink>
        </w:p>
        <w:p w14:paraId="6D1E5889" w14:textId="75DC39D0" w:rsidR="006B3F5B" w:rsidRDefault="006B3F5B">
          <w:pPr>
            <w:pStyle w:val="TOC2"/>
            <w:rPr>
              <w:rFonts w:eastAsiaTheme="minorEastAsia"/>
              <w:kern w:val="2"/>
              <w:sz w:val="24"/>
              <w:szCs w:val="24"/>
              <w:lang w:eastAsia="en-GB"/>
              <w14:ligatures w14:val="standardContextual"/>
            </w:rPr>
          </w:pPr>
          <w:hyperlink w:anchor="_Toc230893544" w:history="1">
            <w:r w:rsidRPr="00EA140B">
              <w:rPr>
                <w:rStyle w:val="Hyperlink"/>
                <w:lang w:eastAsia="ja-JP"/>
              </w:rPr>
              <w:t>Review and update of the manual</w:t>
            </w:r>
            <w:r>
              <w:rPr>
                <w:webHidden/>
              </w:rPr>
              <w:tab/>
            </w:r>
            <w:r>
              <w:rPr>
                <w:webHidden/>
              </w:rPr>
              <w:fldChar w:fldCharType="begin"/>
            </w:r>
            <w:r>
              <w:rPr>
                <w:webHidden/>
              </w:rPr>
              <w:instrText xml:space="preserve"> PAGEREF _Toc230893544 \h </w:instrText>
            </w:r>
            <w:r>
              <w:rPr>
                <w:webHidden/>
              </w:rPr>
            </w:r>
            <w:r>
              <w:rPr>
                <w:webHidden/>
              </w:rPr>
              <w:fldChar w:fldCharType="separate"/>
            </w:r>
            <w:r>
              <w:rPr>
                <w:webHidden/>
              </w:rPr>
              <w:t>18</w:t>
            </w:r>
            <w:r>
              <w:rPr>
                <w:webHidden/>
              </w:rPr>
              <w:fldChar w:fldCharType="end"/>
            </w:r>
          </w:hyperlink>
        </w:p>
        <w:p w14:paraId="64A71149" w14:textId="403776FB" w:rsidR="00764D6A" w:rsidRDefault="00E91D72" w:rsidP="004B3F30">
          <w:pPr>
            <w:pStyle w:val="TOC1"/>
          </w:pPr>
          <w:r>
            <w:rPr>
              <w:b w:val="0"/>
            </w:rPr>
            <w:fldChar w:fldCharType="end"/>
          </w:r>
        </w:p>
      </w:sdtContent>
    </w:sdt>
    <w:p w14:paraId="784F1554" w14:textId="77777777" w:rsidR="00764D6A" w:rsidRPr="009622CD" w:rsidRDefault="00E91D72" w:rsidP="009622CD">
      <w:pPr>
        <w:pStyle w:val="TOCHeading2"/>
        <w:rPr>
          <w:rStyle w:val="Strong"/>
          <w:b/>
          <w:bCs w:val="0"/>
        </w:rPr>
      </w:pPr>
      <w:r w:rsidRPr="009622CD">
        <w:rPr>
          <w:rStyle w:val="Strong"/>
          <w:b/>
          <w:bCs w:val="0"/>
        </w:rPr>
        <w:t>Tables</w:t>
      </w:r>
    </w:p>
    <w:p w14:paraId="0F5B68FD" w14:textId="1FFB86B2" w:rsidR="006B3F5B" w:rsidRDefault="00E91D72">
      <w:pPr>
        <w:pStyle w:val="TableofFigures"/>
        <w:tabs>
          <w:tab w:val="right" w:leader="dot" w:pos="9060"/>
        </w:tabs>
        <w:rPr>
          <w:rFonts w:eastAsiaTheme="minorEastAsia"/>
          <w:noProof/>
          <w:kern w:val="2"/>
          <w:sz w:val="24"/>
          <w:szCs w:val="24"/>
          <w:lang w:eastAsia="en-GB"/>
          <w14:ligatures w14:val="standardContextual"/>
        </w:rPr>
      </w:pPr>
      <w:r>
        <w:rPr>
          <w:rStyle w:val="Hyperlink"/>
        </w:rPr>
        <w:fldChar w:fldCharType="begin"/>
      </w:r>
      <w:r>
        <w:rPr>
          <w:rStyle w:val="Hyperlink"/>
          <w:noProof/>
        </w:rPr>
        <w:instrText xml:space="preserve"> TOC \h \z \c "Table" </w:instrText>
      </w:r>
      <w:r>
        <w:rPr>
          <w:rStyle w:val="Hyperlink"/>
        </w:rPr>
        <w:fldChar w:fldCharType="separate"/>
      </w:r>
      <w:hyperlink w:anchor="_Toc230893545" w:history="1">
        <w:r w:rsidR="006B3F5B" w:rsidRPr="00000048">
          <w:rPr>
            <w:rStyle w:val="Hyperlink"/>
            <w:noProof/>
          </w:rPr>
          <w:t>Table 1 Incident Management Team function description</w:t>
        </w:r>
        <w:r w:rsidR="006B3F5B">
          <w:rPr>
            <w:noProof/>
            <w:webHidden/>
          </w:rPr>
          <w:tab/>
        </w:r>
        <w:r w:rsidR="006B3F5B">
          <w:rPr>
            <w:noProof/>
            <w:webHidden/>
          </w:rPr>
          <w:fldChar w:fldCharType="begin"/>
        </w:r>
        <w:r w:rsidR="006B3F5B">
          <w:rPr>
            <w:noProof/>
            <w:webHidden/>
          </w:rPr>
          <w:instrText xml:space="preserve"> PAGEREF _Toc230893545 \h </w:instrText>
        </w:r>
        <w:r w:rsidR="006B3F5B">
          <w:rPr>
            <w:noProof/>
            <w:webHidden/>
          </w:rPr>
        </w:r>
        <w:r w:rsidR="006B3F5B">
          <w:rPr>
            <w:noProof/>
            <w:webHidden/>
          </w:rPr>
          <w:fldChar w:fldCharType="separate"/>
        </w:r>
        <w:r w:rsidR="006B3F5B">
          <w:rPr>
            <w:noProof/>
            <w:webHidden/>
          </w:rPr>
          <w:t>11</w:t>
        </w:r>
        <w:r w:rsidR="006B3F5B">
          <w:rPr>
            <w:noProof/>
            <w:webHidden/>
          </w:rPr>
          <w:fldChar w:fldCharType="end"/>
        </w:r>
      </w:hyperlink>
    </w:p>
    <w:p w14:paraId="40D76F0D" w14:textId="19D383B3" w:rsidR="006B3F5B" w:rsidRDefault="006B3F5B">
      <w:pPr>
        <w:pStyle w:val="TableofFigures"/>
        <w:tabs>
          <w:tab w:val="right" w:leader="dot" w:pos="9060"/>
        </w:tabs>
        <w:rPr>
          <w:rFonts w:eastAsiaTheme="minorEastAsia"/>
          <w:noProof/>
          <w:kern w:val="2"/>
          <w:sz w:val="24"/>
          <w:szCs w:val="24"/>
          <w:lang w:eastAsia="en-GB"/>
          <w14:ligatures w14:val="standardContextual"/>
        </w:rPr>
      </w:pPr>
      <w:hyperlink w:anchor="_Toc230893546" w:history="1">
        <w:r w:rsidRPr="00000048">
          <w:rPr>
            <w:rStyle w:val="Hyperlink"/>
            <w:noProof/>
          </w:rPr>
          <w:t>Table 2 Public messaging delivery responsibilities</w:t>
        </w:r>
        <w:r>
          <w:rPr>
            <w:noProof/>
            <w:webHidden/>
          </w:rPr>
          <w:tab/>
        </w:r>
        <w:r>
          <w:rPr>
            <w:noProof/>
            <w:webHidden/>
          </w:rPr>
          <w:fldChar w:fldCharType="begin"/>
        </w:r>
        <w:r>
          <w:rPr>
            <w:noProof/>
            <w:webHidden/>
          </w:rPr>
          <w:instrText xml:space="preserve"> PAGEREF _Toc230893546 \h </w:instrText>
        </w:r>
        <w:r>
          <w:rPr>
            <w:noProof/>
            <w:webHidden/>
          </w:rPr>
        </w:r>
        <w:r>
          <w:rPr>
            <w:noProof/>
            <w:webHidden/>
          </w:rPr>
          <w:fldChar w:fldCharType="separate"/>
        </w:r>
        <w:r>
          <w:rPr>
            <w:noProof/>
            <w:webHidden/>
          </w:rPr>
          <w:t>17</w:t>
        </w:r>
        <w:r>
          <w:rPr>
            <w:noProof/>
            <w:webHidden/>
          </w:rPr>
          <w:fldChar w:fldCharType="end"/>
        </w:r>
      </w:hyperlink>
    </w:p>
    <w:p w14:paraId="0CF2225E" w14:textId="23CC27F5" w:rsidR="00491FEF" w:rsidRDefault="00E91D72" w:rsidP="00491FEF">
      <w:pPr>
        <w:pStyle w:val="TableofFigures"/>
        <w:tabs>
          <w:tab w:val="right" w:leader="dot" w:pos="9060"/>
        </w:tabs>
      </w:pPr>
      <w:r>
        <w:rPr>
          <w:noProof/>
        </w:rPr>
        <w:fldChar w:fldCharType="end"/>
      </w:r>
    </w:p>
    <w:p w14:paraId="493E0D32" w14:textId="77777777" w:rsidR="00764D6A" w:rsidRPr="009622CD" w:rsidRDefault="00E91D72" w:rsidP="009622CD">
      <w:pPr>
        <w:pStyle w:val="TOCHeading2"/>
        <w:rPr>
          <w:rStyle w:val="Strong"/>
          <w:b/>
          <w:bCs w:val="0"/>
        </w:rPr>
      </w:pPr>
      <w:r w:rsidRPr="009622CD">
        <w:rPr>
          <w:rStyle w:val="Strong"/>
          <w:b/>
          <w:bCs w:val="0"/>
        </w:rPr>
        <w:t>Figures</w:t>
      </w:r>
    </w:p>
    <w:p w14:paraId="409A0BCB" w14:textId="2949D04B" w:rsidR="006B3F5B" w:rsidRDefault="00E91D72">
      <w:pPr>
        <w:pStyle w:val="TableofFigures"/>
        <w:tabs>
          <w:tab w:val="right" w:leader="dot" w:pos="9060"/>
        </w:tabs>
        <w:rPr>
          <w:rFonts w:eastAsiaTheme="minorEastAsia"/>
          <w:noProof/>
          <w:kern w:val="2"/>
          <w:sz w:val="24"/>
          <w:szCs w:val="24"/>
          <w:lang w:eastAsia="en-GB"/>
          <w14:ligatures w14:val="standardContextual"/>
        </w:rPr>
      </w:pPr>
      <w:r>
        <w:fldChar w:fldCharType="begin"/>
      </w:r>
      <w:r>
        <w:instrText xml:space="preserve"> TOC \h \z \c "Figure" </w:instrText>
      </w:r>
      <w:r>
        <w:fldChar w:fldCharType="separate"/>
      </w:r>
      <w:hyperlink w:anchor="_Toc230893547" w:history="1">
        <w:r w:rsidR="006B3F5B" w:rsidRPr="003047C2">
          <w:rPr>
            <w:rStyle w:val="Hyperlink"/>
            <w:noProof/>
          </w:rPr>
          <w:t>Figure 1 Fully expanded AIIMS structure</w:t>
        </w:r>
        <w:r w:rsidR="006B3F5B">
          <w:rPr>
            <w:noProof/>
            <w:webHidden/>
          </w:rPr>
          <w:tab/>
        </w:r>
        <w:r w:rsidR="006B3F5B">
          <w:rPr>
            <w:noProof/>
            <w:webHidden/>
          </w:rPr>
          <w:fldChar w:fldCharType="begin"/>
        </w:r>
        <w:r w:rsidR="006B3F5B">
          <w:rPr>
            <w:noProof/>
            <w:webHidden/>
          </w:rPr>
          <w:instrText xml:space="preserve"> PAGEREF _Toc230893547 \h </w:instrText>
        </w:r>
        <w:r w:rsidR="006B3F5B">
          <w:rPr>
            <w:noProof/>
            <w:webHidden/>
          </w:rPr>
        </w:r>
        <w:r w:rsidR="006B3F5B">
          <w:rPr>
            <w:noProof/>
            <w:webHidden/>
          </w:rPr>
          <w:fldChar w:fldCharType="separate"/>
        </w:r>
        <w:r w:rsidR="006B3F5B">
          <w:rPr>
            <w:noProof/>
            <w:webHidden/>
          </w:rPr>
          <w:t>10</w:t>
        </w:r>
        <w:r w:rsidR="006B3F5B">
          <w:rPr>
            <w:noProof/>
            <w:webHidden/>
          </w:rPr>
          <w:fldChar w:fldCharType="end"/>
        </w:r>
      </w:hyperlink>
    </w:p>
    <w:p w14:paraId="70C33AEB" w14:textId="1B1B9E14" w:rsidR="006B3F5B" w:rsidRDefault="006B3F5B">
      <w:pPr>
        <w:pStyle w:val="TableofFigures"/>
        <w:tabs>
          <w:tab w:val="right" w:leader="dot" w:pos="9060"/>
        </w:tabs>
        <w:rPr>
          <w:rFonts w:eastAsiaTheme="minorEastAsia"/>
          <w:noProof/>
          <w:kern w:val="2"/>
          <w:sz w:val="24"/>
          <w:szCs w:val="24"/>
          <w:lang w:eastAsia="en-GB"/>
          <w14:ligatures w14:val="standardContextual"/>
        </w:rPr>
      </w:pPr>
      <w:hyperlink w:anchor="_Toc230893548" w:history="1">
        <w:r w:rsidRPr="003047C2">
          <w:rPr>
            <w:rStyle w:val="Hyperlink"/>
            <w:noProof/>
          </w:rPr>
          <w:t>Figure 2 National crisis coordination arrangements</w:t>
        </w:r>
        <w:r>
          <w:rPr>
            <w:noProof/>
            <w:webHidden/>
          </w:rPr>
          <w:tab/>
        </w:r>
        <w:r>
          <w:rPr>
            <w:noProof/>
            <w:webHidden/>
          </w:rPr>
          <w:fldChar w:fldCharType="begin"/>
        </w:r>
        <w:r>
          <w:rPr>
            <w:noProof/>
            <w:webHidden/>
          </w:rPr>
          <w:instrText xml:space="preserve"> PAGEREF _Toc230893548 \h </w:instrText>
        </w:r>
        <w:r>
          <w:rPr>
            <w:noProof/>
            <w:webHidden/>
          </w:rPr>
        </w:r>
        <w:r>
          <w:rPr>
            <w:noProof/>
            <w:webHidden/>
          </w:rPr>
          <w:fldChar w:fldCharType="separate"/>
        </w:r>
        <w:r>
          <w:rPr>
            <w:noProof/>
            <w:webHidden/>
          </w:rPr>
          <w:t>12</w:t>
        </w:r>
        <w:r>
          <w:rPr>
            <w:noProof/>
            <w:webHidden/>
          </w:rPr>
          <w:fldChar w:fldCharType="end"/>
        </w:r>
      </w:hyperlink>
    </w:p>
    <w:p w14:paraId="0FF5B6A2" w14:textId="0CB830DA" w:rsidR="00764D6A" w:rsidRDefault="00E91D72" w:rsidP="004B3F30">
      <w:pPr>
        <w:pStyle w:val="TableofFigures"/>
        <w:tabs>
          <w:tab w:val="right" w:leader="dot" w:pos="9060"/>
        </w:tabs>
      </w:pPr>
      <w:r>
        <w:fldChar w:fldCharType="end"/>
      </w:r>
    </w:p>
    <w:p w14:paraId="2A987B24" w14:textId="1D04A24D" w:rsidR="00764D6A" w:rsidRPr="00CA6B70" w:rsidRDefault="00764D6A" w:rsidP="00CA6B70">
      <w:pPr>
        <w:sectPr w:rsidR="00764D6A" w:rsidRPr="00CA6B70">
          <w:headerReference w:type="even" r:id="rId16"/>
          <w:headerReference w:type="default" r:id="rId17"/>
          <w:footerReference w:type="even" r:id="rId18"/>
          <w:footerReference w:type="default" r:id="rId19"/>
          <w:pgSz w:w="11906" w:h="16838"/>
          <w:pgMar w:top="1418" w:right="1418" w:bottom="1418" w:left="1418" w:header="567" w:footer="283" w:gutter="0"/>
          <w:pgNumType w:fmt="lowerRoman" w:start="1"/>
          <w:cols w:space="708"/>
          <w:titlePg/>
          <w:docGrid w:linePitch="360"/>
        </w:sectPr>
      </w:pPr>
    </w:p>
    <w:p w14:paraId="36B8D3FE" w14:textId="77777777" w:rsidR="00764D6A" w:rsidRDefault="00E91D72" w:rsidP="007E39EF">
      <w:pPr>
        <w:pStyle w:val="Heading2"/>
        <w:numPr>
          <w:ilvl w:val="0"/>
          <w:numId w:val="0"/>
        </w:numPr>
        <w:ind w:left="720" w:hanging="720"/>
      </w:pPr>
      <w:bookmarkStart w:id="1" w:name="_Toc430782150"/>
      <w:bookmarkStart w:id="2" w:name="_Toc230893528"/>
      <w:r w:rsidRPr="00DB71A3">
        <w:lastRenderedPageBreak/>
        <w:t>Introduction</w:t>
      </w:r>
      <w:bookmarkEnd w:id="1"/>
      <w:bookmarkEnd w:id="2"/>
    </w:p>
    <w:p w14:paraId="5FD64F7A" w14:textId="77777777" w:rsidR="00742F2A" w:rsidRDefault="00742F2A" w:rsidP="00742F2A">
      <w:r>
        <w:t>The Biosecurity Incident Public Information Manual (BIPIM) enables the Australian Government and state/territory agriculture agencies to apply a nationally consistent communication and engagement response to biosecurity incidents. Biosecurity incidents are caused by pests, diseases or weeds that can impact on Australia’s:</w:t>
      </w:r>
    </w:p>
    <w:p w14:paraId="3BB3E139" w14:textId="49708794" w:rsidR="00742F2A" w:rsidRPr="00F549BF" w:rsidRDefault="00742F2A" w:rsidP="00F549BF">
      <w:pPr>
        <w:pStyle w:val="ListBullet"/>
      </w:pPr>
      <w:r w:rsidRPr="00F549BF">
        <w:t>animal health (terrestrial and aquatic, including zoonotic diseases)</w:t>
      </w:r>
    </w:p>
    <w:p w14:paraId="7ED422BE" w14:textId="04E19CC1" w:rsidR="00742F2A" w:rsidRPr="00F549BF" w:rsidRDefault="00742F2A" w:rsidP="00F549BF">
      <w:pPr>
        <w:pStyle w:val="ListBullet"/>
      </w:pPr>
      <w:r w:rsidRPr="00F549BF">
        <w:t>plant health</w:t>
      </w:r>
    </w:p>
    <w:p w14:paraId="2B45C777" w14:textId="6E5446BC" w:rsidR="00742F2A" w:rsidRPr="00F549BF" w:rsidRDefault="00742F2A" w:rsidP="00F549BF">
      <w:pPr>
        <w:pStyle w:val="ListBullet"/>
      </w:pPr>
      <w:r w:rsidRPr="00F549BF">
        <w:t>environment (including marine)</w:t>
      </w:r>
    </w:p>
    <w:p w14:paraId="09B626E8" w14:textId="77777777" w:rsidR="005C121B" w:rsidRPr="00F549BF" w:rsidRDefault="00742F2A" w:rsidP="00F549BF">
      <w:pPr>
        <w:pStyle w:val="ListBullet"/>
      </w:pPr>
      <w:r w:rsidRPr="00F549BF">
        <w:t>human health</w:t>
      </w:r>
    </w:p>
    <w:p w14:paraId="38669E0A" w14:textId="7C10712D" w:rsidR="00742F2A" w:rsidRPr="00F549BF" w:rsidRDefault="00742F2A" w:rsidP="00F549BF">
      <w:pPr>
        <w:pStyle w:val="ListBullet"/>
      </w:pPr>
      <w:r w:rsidRPr="00F549BF">
        <w:t>social amenity and way of life.</w:t>
      </w:r>
    </w:p>
    <w:p w14:paraId="1D985081" w14:textId="205430FC" w:rsidR="00764D6A" w:rsidRDefault="00742F2A" w:rsidP="00742F2A">
      <w:pPr>
        <w:pStyle w:val="Heading2"/>
        <w:numPr>
          <w:ilvl w:val="0"/>
          <w:numId w:val="0"/>
        </w:numPr>
        <w:ind w:left="720" w:hanging="720"/>
      </w:pPr>
      <w:bookmarkStart w:id="3" w:name="_Toc230893529"/>
      <w:r>
        <w:lastRenderedPageBreak/>
        <w:t>Using the BIP</w:t>
      </w:r>
      <w:r w:rsidR="00E869EE">
        <w:t>I</w:t>
      </w:r>
      <w:r>
        <w:t>M</w:t>
      </w:r>
      <w:bookmarkEnd w:id="3"/>
    </w:p>
    <w:p w14:paraId="1057F4C1" w14:textId="1DD2C602" w:rsidR="00742F2A" w:rsidRDefault="00742F2A" w:rsidP="00742F2A">
      <w:pPr>
        <w:pStyle w:val="Heading3"/>
        <w:numPr>
          <w:ilvl w:val="0"/>
          <w:numId w:val="0"/>
        </w:numPr>
        <w:ind w:left="964" w:hanging="964"/>
      </w:pPr>
      <w:bookmarkStart w:id="4" w:name="_Toc230893530"/>
      <w:r>
        <w:t>Who it</w:t>
      </w:r>
      <w:r w:rsidR="00CE19E4">
        <w:t>’s</w:t>
      </w:r>
      <w:r>
        <w:t xml:space="preserve"> for</w:t>
      </w:r>
      <w:bookmarkEnd w:id="4"/>
    </w:p>
    <w:p w14:paraId="7E2092BF" w14:textId="3A02FB8A" w:rsidR="005C121B" w:rsidRDefault="00742F2A" w:rsidP="00742F2A">
      <w:pPr>
        <w:rPr>
          <w:lang w:eastAsia="ja-JP"/>
        </w:rPr>
      </w:pPr>
      <w:r>
        <w:rPr>
          <w:lang w:eastAsia="ja-JP"/>
        </w:rPr>
        <w:t>This manual is a guide for people performing communication and stakeholder engagement roles in a state or territory agency, or the Australian Government, in response to a biosecurity incident.</w:t>
      </w:r>
    </w:p>
    <w:p w14:paraId="75DE173C" w14:textId="58745BF7" w:rsidR="00742F2A" w:rsidRDefault="00742F2A" w:rsidP="00742F2A">
      <w:pPr>
        <w:rPr>
          <w:lang w:eastAsia="ja-JP"/>
        </w:rPr>
      </w:pPr>
      <w:r>
        <w:rPr>
          <w:lang w:eastAsia="ja-JP"/>
        </w:rPr>
        <w:t>The BIPIM is a product of the National Biosecurity Communication and Engagement Network (NBCEN).</w:t>
      </w:r>
      <w:r w:rsidR="00F6688C">
        <w:rPr>
          <w:lang w:eastAsia="ja-JP"/>
        </w:rPr>
        <w:t xml:space="preserve"> </w:t>
      </w:r>
      <w:r>
        <w:rPr>
          <w:lang w:eastAsia="ja-JP"/>
        </w:rPr>
        <w:t>NBCEN is responsible for its review</w:t>
      </w:r>
      <w:r w:rsidR="00246FB8">
        <w:rPr>
          <w:lang w:eastAsia="ja-JP"/>
        </w:rPr>
        <w:t xml:space="preserve"> and</w:t>
      </w:r>
      <w:r>
        <w:rPr>
          <w:lang w:eastAsia="ja-JP"/>
        </w:rPr>
        <w:t xml:space="preserve"> publication, and for granting permission for its use in </w:t>
      </w:r>
      <w:r w:rsidR="00332F8E">
        <w:rPr>
          <w:lang w:eastAsia="ja-JP"/>
        </w:rPr>
        <w:t>p</w:t>
      </w:r>
      <w:r>
        <w:rPr>
          <w:lang w:eastAsia="ja-JP"/>
        </w:rPr>
        <w:t xml:space="preserve">ublic </w:t>
      </w:r>
      <w:r w:rsidR="00332F8E">
        <w:rPr>
          <w:lang w:eastAsia="ja-JP"/>
        </w:rPr>
        <w:t>i</w:t>
      </w:r>
      <w:r>
        <w:rPr>
          <w:lang w:eastAsia="ja-JP"/>
        </w:rPr>
        <w:t>nformation training modules.</w:t>
      </w:r>
    </w:p>
    <w:p w14:paraId="642E4105" w14:textId="77777777" w:rsidR="00742F2A" w:rsidRDefault="00742F2A" w:rsidP="00742F2A">
      <w:pPr>
        <w:pStyle w:val="Heading3"/>
        <w:numPr>
          <w:ilvl w:val="0"/>
          <w:numId w:val="0"/>
        </w:numPr>
        <w:ind w:left="964" w:hanging="964"/>
        <w:rPr>
          <w:lang w:eastAsia="ja-JP"/>
        </w:rPr>
      </w:pPr>
      <w:bookmarkStart w:id="5" w:name="_Toc230893531"/>
      <w:r>
        <w:rPr>
          <w:lang w:eastAsia="ja-JP"/>
        </w:rPr>
        <w:t>What’s in it</w:t>
      </w:r>
      <w:bookmarkEnd w:id="5"/>
    </w:p>
    <w:p w14:paraId="5D815021" w14:textId="2B73307E" w:rsidR="00742F2A" w:rsidRDefault="00742F2A" w:rsidP="00742F2A">
      <w:pPr>
        <w:rPr>
          <w:lang w:eastAsia="ja-JP"/>
        </w:rPr>
      </w:pPr>
      <w:r>
        <w:rPr>
          <w:lang w:eastAsia="ja-JP"/>
        </w:rPr>
        <w:t xml:space="preserve">The BIPIM is divided into </w:t>
      </w:r>
      <w:r w:rsidR="00246FB8">
        <w:rPr>
          <w:lang w:eastAsia="ja-JP"/>
        </w:rPr>
        <w:t xml:space="preserve">4 </w:t>
      </w:r>
      <w:r>
        <w:rPr>
          <w:lang w:eastAsia="ja-JP"/>
        </w:rPr>
        <w:t>parts:</w:t>
      </w:r>
    </w:p>
    <w:p w14:paraId="44EBF0BB" w14:textId="4C863D42" w:rsidR="00742F2A" w:rsidRPr="00742F2A" w:rsidRDefault="00742F2A" w:rsidP="00742F2A">
      <w:pPr>
        <w:pStyle w:val="ListBullet"/>
      </w:pPr>
      <w:r w:rsidRPr="00742F2A">
        <w:t>Part 1</w:t>
      </w:r>
      <w:r w:rsidR="00246FB8">
        <w:t xml:space="preserve"> gives an </w:t>
      </w:r>
      <w:r w:rsidRPr="00742F2A">
        <w:t xml:space="preserve">overview of </w:t>
      </w:r>
      <w:r w:rsidR="00246FB8">
        <w:t>p</w:t>
      </w:r>
      <w:r w:rsidRPr="00742F2A">
        <w:t xml:space="preserve">ublic </w:t>
      </w:r>
      <w:r w:rsidR="00246FB8">
        <w:t>i</w:t>
      </w:r>
      <w:r w:rsidRPr="00742F2A">
        <w:t xml:space="preserve">nformation policy </w:t>
      </w:r>
      <w:r w:rsidR="00246FB8">
        <w:t>and</w:t>
      </w:r>
      <w:r w:rsidRPr="00742F2A">
        <w:t xml:space="preserve"> describes national biosecurity arrangements, including systems, processes and the role of public information.</w:t>
      </w:r>
    </w:p>
    <w:p w14:paraId="24DA7E67" w14:textId="41F5F935" w:rsidR="005C121B" w:rsidRDefault="00742F2A" w:rsidP="00742F2A">
      <w:pPr>
        <w:pStyle w:val="ListBullet"/>
      </w:pPr>
      <w:r w:rsidRPr="00742F2A">
        <w:t>Part 2</w:t>
      </w:r>
      <w:r w:rsidR="00246FB8">
        <w:t xml:space="preserve"> </w:t>
      </w:r>
      <w:r w:rsidRPr="00742F2A">
        <w:t xml:space="preserve">describes </w:t>
      </w:r>
      <w:r w:rsidR="00246FB8">
        <w:t>p</w:t>
      </w:r>
      <w:r w:rsidRPr="00742F2A">
        <w:t xml:space="preserve">ublic </w:t>
      </w:r>
      <w:r w:rsidR="00246FB8">
        <w:t>i</w:t>
      </w:r>
      <w:r w:rsidRPr="00742F2A">
        <w:t>nformation operations and processes, while providing guidance on how to implement effective communication and engagement during a biosecurity incident.</w:t>
      </w:r>
    </w:p>
    <w:p w14:paraId="6A3911D2" w14:textId="02F36143" w:rsidR="00742F2A" w:rsidRPr="00742F2A" w:rsidRDefault="00742F2A" w:rsidP="00742F2A">
      <w:pPr>
        <w:pStyle w:val="ListBullet"/>
      </w:pPr>
      <w:r w:rsidRPr="00742F2A">
        <w:t>Part 3</w:t>
      </w:r>
      <w:r w:rsidR="00246FB8">
        <w:t xml:space="preserve"> </w:t>
      </w:r>
      <w:r w:rsidRPr="00742F2A">
        <w:t xml:space="preserve">contains job cards specific to the </w:t>
      </w:r>
      <w:r w:rsidR="00246FB8">
        <w:t>p</w:t>
      </w:r>
      <w:r w:rsidRPr="00742F2A">
        <w:t xml:space="preserve">ublic </w:t>
      </w:r>
      <w:r w:rsidR="00246FB8">
        <w:t>i</w:t>
      </w:r>
      <w:r w:rsidRPr="00742F2A">
        <w:t>nformation units and describes roles, responsibilities, tasks, skills and knowledge required.</w:t>
      </w:r>
    </w:p>
    <w:p w14:paraId="42081EB9" w14:textId="1F335604" w:rsidR="00742F2A" w:rsidRPr="00742F2A" w:rsidRDefault="00742F2A" w:rsidP="00742F2A">
      <w:pPr>
        <w:pStyle w:val="ListBullet"/>
      </w:pPr>
      <w:r w:rsidRPr="00742F2A">
        <w:t>Part 4</w:t>
      </w:r>
      <w:r w:rsidR="00246FB8">
        <w:t xml:space="preserve"> </w:t>
      </w:r>
      <w:r w:rsidRPr="00742F2A">
        <w:t>contains templates, forms and checklists.</w:t>
      </w:r>
    </w:p>
    <w:p w14:paraId="3D3DDFEA" w14:textId="09890BFC" w:rsidR="00764D6A" w:rsidRDefault="00742F2A" w:rsidP="00742F2A">
      <w:pPr>
        <w:pStyle w:val="Heading2"/>
        <w:numPr>
          <w:ilvl w:val="0"/>
          <w:numId w:val="0"/>
        </w:numPr>
      </w:pPr>
      <w:bookmarkStart w:id="6" w:name="_Toc230893532"/>
      <w:r>
        <w:lastRenderedPageBreak/>
        <w:t>Why public information is important in an incident</w:t>
      </w:r>
      <w:bookmarkEnd w:id="6"/>
    </w:p>
    <w:p w14:paraId="7DC40D6B" w14:textId="07D50463" w:rsidR="00742F2A" w:rsidRDefault="00742F2A" w:rsidP="00742F2A">
      <w:pPr>
        <w:rPr>
          <w:lang w:eastAsia="ja-JP"/>
        </w:rPr>
      </w:pPr>
      <w:r>
        <w:rPr>
          <w:lang w:eastAsia="ja-JP"/>
        </w:rPr>
        <w:t>‘Public information’ is information provided to the public immediately before, during and after an emergency to reduce the potential impact of an emergency or hazards</w:t>
      </w:r>
      <w:r w:rsidR="00CE19E4" w:rsidRPr="00CE19E4">
        <w:rPr>
          <w:lang w:eastAsia="ja-JP"/>
        </w:rPr>
        <w:t xml:space="preserve"> (A</w:t>
      </w:r>
      <w:r w:rsidR="00CE19E4" w:rsidRPr="00CE19E4">
        <w:t xml:space="preserve">ustralian Institute for Disaster Resilience, </w:t>
      </w:r>
      <w:hyperlink r:id="rId20">
        <w:r w:rsidR="00CE19E4" w:rsidRPr="79702DDC">
          <w:rPr>
            <w:rStyle w:val="Hyperlink"/>
          </w:rPr>
          <w:t xml:space="preserve">Public </w:t>
        </w:r>
        <w:r w:rsidR="000E752A" w:rsidRPr="79702DDC">
          <w:rPr>
            <w:rStyle w:val="Hyperlink"/>
          </w:rPr>
          <w:t>i</w:t>
        </w:r>
        <w:r w:rsidR="00CE19E4" w:rsidRPr="79702DDC">
          <w:rPr>
            <w:rStyle w:val="Hyperlink"/>
          </w:rPr>
          <w:t xml:space="preserve">nformation and </w:t>
        </w:r>
        <w:r w:rsidR="000E752A" w:rsidRPr="79702DDC">
          <w:rPr>
            <w:rStyle w:val="Hyperlink"/>
          </w:rPr>
          <w:t>w</w:t>
        </w:r>
        <w:r w:rsidR="00CE19E4" w:rsidRPr="79702DDC">
          <w:rPr>
            <w:rStyle w:val="Hyperlink"/>
          </w:rPr>
          <w:t xml:space="preserve">arnings </w:t>
        </w:r>
        <w:r w:rsidR="000E752A" w:rsidRPr="79702DDC">
          <w:rPr>
            <w:rStyle w:val="Hyperlink"/>
          </w:rPr>
          <w:t>h</w:t>
        </w:r>
        <w:r w:rsidR="00CE19E4" w:rsidRPr="79702DDC">
          <w:rPr>
            <w:rStyle w:val="Hyperlink"/>
          </w:rPr>
          <w:t>andbook</w:t>
        </w:r>
      </w:hyperlink>
      <w:r w:rsidR="00CE19E4">
        <w:t>, 2021)</w:t>
      </w:r>
      <w:r w:rsidRPr="79702DDC">
        <w:rPr>
          <w:lang w:eastAsia="ja-JP"/>
        </w:rPr>
        <w:t>.</w:t>
      </w:r>
      <w:r w:rsidR="00F6688C" w:rsidRPr="00CE19E4">
        <w:rPr>
          <w:lang w:eastAsia="ja-JP"/>
        </w:rPr>
        <w:t xml:space="preserve"> </w:t>
      </w:r>
      <w:r w:rsidRPr="00CE19E4">
        <w:rPr>
          <w:lang w:eastAsia="ja-JP"/>
        </w:rPr>
        <w:t>In</w:t>
      </w:r>
      <w:r>
        <w:rPr>
          <w:lang w:eastAsia="ja-JP"/>
        </w:rPr>
        <w:t xml:space="preserve"> a biosecurity incident, information is disseminated to and received from affected industries, trading partners, the media and public, other stakeholders, and staff within an agency/organisation.</w:t>
      </w:r>
    </w:p>
    <w:p w14:paraId="6543B389" w14:textId="77777777" w:rsidR="00742F2A" w:rsidRDefault="00742F2A" w:rsidP="00742F2A">
      <w:pPr>
        <w:rPr>
          <w:lang w:eastAsia="ja-JP"/>
        </w:rPr>
      </w:pPr>
      <w:r>
        <w:rPr>
          <w:lang w:eastAsia="ja-JP"/>
        </w:rPr>
        <w:t>The role of government in a biosecurity response is to provide timely, relevant, up-to-date, accurate and consistent information about:</w:t>
      </w:r>
    </w:p>
    <w:p w14:paraId="714B7DBC" w14:textId="4D399BC7" w:rsidR="00742F2A" w:rsidRPr="00F549BF" w:rsidRDefault="00742F2A" w:rsidP="00F549BF">
      <w:pPr>
        <w:pStyle w:val="ListBullet"/>
      </w:pPr>
      <w:r w:rsidRPr="00F549BF">
        <w:t>the pest, disease or weed and its impact</w:t>
      </w:r>
    </w:p>
    <w:p w14:paraId="782395DF" w14:textId="5F8D14E5" w:rsidR="00742F2A" w:rsidRPr="00F549BF" w:rsidRDefault="00742F2A" w:rsidP="00F549BF">
      <w:pPr>
        <w:pStyle w:val="ListBullet"/>
      </w:pPr>
      <w:r w:rsidRPr="00F549BF">
        <w:t>the need for protective measures to stop the spread (biosecurity measures)</w:t>
      </w:r>
    </w:p>
    <w:p w14:paraId="644DF09C" w14:textId="361A0759" w:rsidR="005C121B" w:rsidRPr="00F549BF" w:rsidRDefault="00742F2A" w:rsidP="00F549BF">
      <w:pPr>
        <w:pStyle w:val="ListBullet"/>
      </w:pPr>
      <w:r w:rsidRPr="00F549BF">
        <w:t>movement controls</w:t>
      </w:r>
    </w:p>
    <w:p w14:paraId="3455291B" w14:textId="766165BF" w:rsidR="005C121B" w:rsidRPr="00F549BF" w:rsidRDefault="00742F2A" w:rsidP="00F549BF">
      <w:pPr>
        <w:pStyle w:val="ListBullet"/>
      </w:pPr>
      <w:r w:rsidRPr="00F549BF">
        <w:t>the community’s reporting and response obligations.</w:t>
      </w:r>
    </w:p>
    <w:p w14:paraId="05F27AF0" w14:textId="1D14718E" w:rsidR="00742F2A" w:rsidRDefault="00742F2A" w:rsidP="00742F2A">
      <w:pPr>
        <w:rPr>
          <w:lang w:eastAsia="ja-JP"/>
        </w:rPr>
      </w:pPr>
      <w:r>
        <w:rPr>
          <w:lang w:eastAsia="ja-JP"/>
        </w:rPr>
        <w:t>Doing this well increases the chances of successful response outcomes and reduces the risk of community resistance to biosecurity measures. Good public information helps the community and affected stakeholders prevent the spread of pests, diseases and invasive species</w:t>
      </w:r>
      <w:r w:rsidR="00246FB8">
        <w:rPr>
          <w:lang w:eastAsia="ja-JP"/>
        </w:rPr>
        <w:t>,</w:t>
      </w:r>
      <w:r>
        <w:rPr>
          <w:lang w:eastAsia="ja-JP"/>
        </w:rPr>
        <w:t xml:space="preserve"> which aids containment, control and eradication efforts.</w:t>
      </w:r>
    </w:p>
    <w:p w14:paraId="7EC81B37" w14:textId="1F98A3F2" w:rsidR="005C121B" w:rsidRDefault="00742F2A" w:rsidP="00742F2A">
      <w:pPr>
        <w:rPr>
          <w:lang w:eastAsia="ja-JP"/>
        </w:rPr>
      </w:pPr>
      <w:r>
        <w:rPr>
          <w:lang w:eastAsia="ja-JP"/>
        </w:rPr>
        <w:t>For example, during the banana freckle eradication response in Darwin, backyard banana plants within designated zones were removed. This led to considerable resistance from some residents who did not understand why their healthy plants needed to be destroyed. Earlier engagement and clearer communication about the reasons for removal would have helped the community accept and support the action.</w:t>
      </w:r>
    </w:p>
    <w:p w14:paraId="70F50711" w14:textId="374D20AB" w:rsidR="00742F2A" w:rsidRDefault="00742F2A" w:rsidP="00742F2A">
      <w:pPr>
        <w:rPr>
          <w:lang w:eastAsia="ja-JP"/>
        </w:rPr>
      </w:pPr>
      <w:r w:rsidRPr="051E7E65">
        <w:rPr>
          <w:lang w:eastAsia="ja-JP"/>
        </w:rPr>
        <w:t xml:space="preserve">In addition to assisting with the response, keeping the public informed improves the perceived effectiveness of a response and can assist with recovery. As </w:t>
      </w:r>
      <w:r w:rsidR="3D65686B" w:rsidRPr="051E7E65">
        <w:rPr>
          <w:lang w:eastAsia="ja-JP"/>
        </w:rPr>
        <w:t>Bruce Esplin</w:t>
      </w:r>
      <w:r w:rsidRPr="051E7E65">
        <w:rPr>
          <w:lang w:eastAsia="ja-JP"/>
        </w:rPr>
        <w:t>, former Emergency Services Commissioner for Victoria, said after the Black Saturday bushfires in 2009:</w:t>
      </w:r>
    </w:p>
    <w:p w14:paraId="2A08AB5F" w14:textId="77777777" w:rsidR="000345E4" w:rsidRDefault="00742F2A" w:rsidP="009B02E8">
      <w:pPr>
        <w:pStyle w:val="Normalsmall"/>
        <w:ind w:left="720"/>
      </w:pPr>
      <w:r w:rsidRPr="009B02E8">
        <w:t>Communication is the critical thing and if you do not do it right you will be judged to have failed, regardless of what else you do with your fire trucks and your response.</w:t>
      </w:r>
      <w:r w:rsidR="004E09BF">
        <w:t xml:space="preserve"> </w:t>
      </w:r>
    </w:p>
    <w:p w14:paraId="0A81BF2B" w14:textId="311C6984" w:rsidR="00742F2A" w:rsidRPr="009B02E8" w:rsidRDefault="004E09BF" w:rsidP="009B02E8">
      <w:pPr>
        <w:pStyle w:val="Normalsmall"/>
        <w:ind w:left="720"/>
      </w:pPr>
      <w:r>
        <w:t>(Bruce Esplin, Emergency Management Public Affairs Conference, May 2009)</w:t>
      </w:r>
    </w:p>
    <w:p w14:paraId="07BA4A11" w14:textId="77777777" w:rsidR="00F549BF" w:rsidRPr="00F549BF" w:rsidRDefault="00531E5E" w:rsidP="00124195">
      <w:pPr>
        <w:spacing w:after="0"/>
      </w:pPr>
      <w:r>
        <w:rPr>
          <w:noProof/>
        </w:rPr>
        <w:lastRenderedPageBreak/>
        <w:drawing>
          <wp:inline distT="0" distB="0" distL="0" distR="0" wp14:anchorId="48CE92DB" wp14:editId="52084624">
            <wp:extent cx="3944203" cy="2624365"/>
            <wp:effectExtent l="0" t="0" r="0" b="5080"/>
            <wp:docPr id="928538092" name="Picture 2" descr="Road signage during an avian influenza outbreak.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538092" name="Picture 2" descr="Road signage during an avian influenza outbreak. ">
                      <a:extLst>
                        <a:ext uri="{C183D7F6-B498-43B3-948B-1728B52AA6E4}">
                          <adec:decorative xmlns:adec="http://schemas.microsoft.com/office/drawing/2017/decorative" val="0"/>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68228" cy="2640350"/>
                    </a:xfrm>
                    <a:prstGeom prst="rect">
                      <a:avLst/>
                    </a:prstGeom>
                  </pic:spPr>
                </pic:pic>
              </a:graphicData>
            </a:graphic>
          </wp:inline>
        </w:drawing>
      </w:r>
    </w:p>
    <w:p w14:paraId="702D5071" w14:textId="599F303C" w:rsidR="00DE7C16" w:rsidRPr="00F549BF" w:rsidRDefault="2C2D3DD9" w:rsidP="00BF777A">
      <w:pPr>
        <w:pStyle w:val="Source"/>
      </w:pPr>
      <w:r>
        <w:t>Photo courtesy of Agriculture Victoria.</w:t>
      </w:r>
    </w:p>
    <w:p w14:paraId="2E8F91EB" w14:textId="5DF1785A" w:rsidR="00742F2A" w:rsidRDefault="00742F2A" w:rsidP="00742F2A">
      <w:pPr>
        <w:pStyle w:val="Heading3"/>
        <w:numPr>
          <w:ilvl w:val="0"/>
          <w:numId w:val="0"/>
        </w:numPr>
        <w:ind w:left="964" w:hanging="964"/>
        <w:rPr>
          <w:lang w:eastAsia="ja-JP"/>
        </w:rPr>
      </w:pPr>
      <w:bookmarkStart w:id="7" w:name="_Toc230893533"/>
      <w:r>
        <w:rPr>
          <w:lang w:eastAsia="ja-JP"/>
        </w:rPr>
        <w:t>Impacts of biosecurity incidents</w:t>
      </w:r>
      <w:bookmarkEnd w:id="7"/>
    </w:p>
    <w:p w14:paraId="54DD9ECE" w14:textId="740F053A" w:rsidR="00742F2A" w:rsidRPr="00124195" w:rsidRDefault="00742F2A" w:rsidP="00124195">
      <w:r>
        <w:rPr>
          <w:lang w:eastAsia="ja-JP"/>
        </w:rPr>
        <w:t xml:space="preserve">Plant and animal pest and disease incursions and other biosecurity incidents can have devastating impacts on our primary industries, native wildlife, environment, communities and economy. They </w:t>
      </w:r>
      <w:r w:rsidRPr="00124195">
        <w:t>can:</w:t>
      </w:r>
    </w:p>
    <w:p w14:paraId="55222980" w14:textId="2D6373EA" w:rsidR="00742F2A" w:rsidRPr="00124195" w:rsidRDefault="00742F2A" w:rsidP="00124195">
      <w:pPr>
        <w:pStyle w:val="ListBullet"/>
      </w:pPr>
      <w:r w:rsidRPr="00124195">
        <w:t>impact our agricultural, seafood and forestry industries</w:t>
      </w:r>
    </w:p>
    <w:p w14:paraId="1A9F01DF" w14:textId="6FC177E1" w:rsidR="00742F2A" w:rsidRPr="00124195" w:rsidRDefault="00742F2A" w:rsidP="00124195">
      <w:pPr>
        <w:pStyle w:val="ListBullet"/>
      </w:pPr>
      <w:r w:rsidRPr="00124195">
        <w:t>compromise our clean air, water and land</w:t>
      </w:r>
    </w:p>
    <w:p w14:paraId="611790D7" w14:textId="442C5AB8" w:rsidR="00742F2A" w:rsidRPr="00124195" w:rsidRDefault="00742F2A" w:rsidP="00124195">
      <w:pPr>
        <w:pStyle w:val="ListBullet"/>
      </w:pPr>
      <w:r w:rsidRPr="00124195">
        <w:t>lead to crop losses and the destruction of animals</w:t>
      </w:r>
    </w:p>
    <w:p w14:paraId="601C7739" w14:textId="630EFDA9" w:rsidR="00742F2A" w:rsidRPr="00124195" w:rsidRDefault="00742F2A" w:rsidP="00124195">
      <w:pPr>
        <w:pStyle w:val="ListBullet"/>
      </w:pPr>
      <w:r w:rsidRPr="00124195">
        <w:t>damage our unique natural environment and ecosystems</w:t>
      </w:r>
    </w:p>
    <w:p w14:paraId="05115591" w14:textId="77777777" w:rsidR="005C121B" w:rsidRPr="00124195" w:rsidRDefault="00742F2A" w:rsidP="00124195">
      <w:pPr>
        <w:pStyle w:val="ListBullet"/>
      </w:pPr>
      <w:r w:rsidRPr="00124195">
        <w:t>cause lost income and affect market access</w:t>
      </w:r>
    </w:p>
    <w:p w14:paraId="44033FD0" w14:textId="77777777" w:rsidR="005C121B" w:rsidRPr="00124195" w:rsidRDefault="00742F2A" w:rsidP="00124195">
      <w:pPr>
        <w:pStyle w:val="ListBullet"/>
      </w:pPr>
      <w:r w:rsidRPr="00124195">
        <w:t>affect community connection and cohesion, including mental health.</w:t>
      </w:r>
    </w:p>
    <w:p w14:paraId="1E5F2EEA" w14:textId="7F4887BD" w:rsidR="00742F2A" w:rsidRDefault="00742F2A" w:rsidP="00742F2A">
      <w:pPr>
        <w:rPr>
          <w:lang w:eastAsia="ja-JP"/>
        </w:rPr>
      </w:pPr>
      <w:r>
        <w:rPr>
          <w:lang w:eastAsia="ja-JP"/>
        </w:rPr>
        <w:t>Some incidents occur over an extended period, resulting in long</w:t>
      </w:r>
      <w:r w:rsidR="003212E4">
        <w:rPr>
          <w:lang w:eastAsia="ja-JP"/>
        </w:rPr>
        <w:t>-</w:t>
      </w:r>
      <w:r>
        <w:rPr>
          <w:lang w:eastAsia="ja-JP"/>
        </w:rPr>
        <w:t>term economic losses and social impacts. Certain pests and diseases can also cause unique and specific cultural impacts for First Nations and other communities.</w:t>
      </w:r>
    </w:p>
    <w:p w14:paraId="44979010" w14:textId="503EB5ED" w:rsidR="00742F2A" w:rsidRDefault="00742F2A" w:rsidP="00742F2A">
      <w:pPr>
        <w:rPr>
          <w:lang w:eastAsia="ja-JP"/>
        </w:rPr>
      </w:pPr>
      <w:r>
        <w:rPr>
          <w:lang w:eastAsia="ja-JP"/>
        </w:rPr>
        <w:t>There have been incidents with far-reaching impacts beyond the immediate industry, affecting the broader community, related sectors and the environment. One example is the 2007</w:t>
      </w:r>
      <w:r w:rsidR="003212E4">
        <w:rPr>
          <w:lang w:eastAsia="ja-JP"/>
        </w:rPr>
        <w:t>–</w:t>
      </w:r>
      <w:r>
        <w:rPr>
          <w:lang w:eastAsia="ja-JP"/>
        </w:rPr>
        <w:t>08 equine influenza incursion</w:t>
      </w:r>
      <w:r w:rsidR="00176B25">
        <w:rPr>
          <w:lang w:eastAsia="ja-JP"/>
        </w:rPr>
        <w:t>,</w:t>
      </w:r>
      <w:r>
        <w:rPr>
          <w:lang w:eastAsia="ja-JP"/>
        </w:rPr>
        <w:t xml:space="preserve"> when many people with no direct connection to horse ownership experienced financial hardship, including staff at racecourse restaurants and </w:t>
      </w:r>
      <w:r w:rsidR="00431ED1">
        <w:rPr>
          <w:lang w:eastAsia="ja-JP"/>
        </w:rPr>
        <w:t xml:space="preserve">at </w:t>
      </w:r>
      <w:r>
        <w:rPr>
          <w:lang w:eastAsia="ja-JP"/>
        </w:rPr>
        <w:t>a charity that supported people with disabilities by providing a cleaning service for saddle blankets and horse rugs.</w:t>
      </w:r>
    </w:p>
    <w:p w14:paraId="057E937A" w14:textId="43FDBCFF" w:rsidR="00742F2A" w:rsidRDefault="00742F2A" w:rsidP="00742F2A">
      <w:pPr>
        <w:rPr>
          <w:lang w:eastAsia="ja-JP"/>
        </w:rPr>
      </w:pPr>
      <w:r>
        <w:rPr>
          <w:lang w:eastAsia="ja-JP"/>
        </w:rPr>
        <w:t xml:space="preserve">Australia’s favourable export trade status can also be affected </w:t>
      </w:r>
      <w:r w:rsidR="00260312">
        <w:rPr>
          <w:lang w:eastAsia="ja-JP"/>
        </w:rPr>
        <w:t>because</w:t>
      </w:r>
      <w:r>
        <w:rPr>
          <w:lang w:eastAsia="ja-JP"/>
        </w:rPr>
        <w:t xml:space="preserve"> certain </w:t>
      </w:r>
      <w:r w:rsidR="00556740">
        <w:rPr>
          <w:lang w:eastAsia="ja-JP"/>
        </w:rPr>
        <w:t xml:space="preserve">pests and </w:t>
      </w:r>
      <w:r>
        <w:rPr>
          <w:lang w:eastAsia="ja-JP"/>
        </w:rPr>
        <w:t>diseases, when confirmed</w:t>
      </w:r>
      <w:r w:rsidR="0003529E">
        <w:rPr>
          <w:lang w:eastAsia="ja-JP"/>
        </w:rPr>
        <w:t xml:space="preserve"> as new</w:t>
      </w:r>
      <w:r w:rsidR="00B10E8D">
        <w:rPr>
          <w:lang w:eastAsia="ja-JP"/>
        </w:rPr>
        <w:t xml:space="preserve"> to Australia</w:t>
      </w:r>
      <w:r>
        <w:rPr>
          <w:lang w:eastAsia="ja-JP"/>
        </w:rPr>
        <w:t xml:space="preserve">, must be reported to </w:t>
      </w:r>
      <w:r w:rsidR="00941C39">
        <w:rPr>
          <w:lang w:eastAsia="ja-JP"/>
        </w:rPr>
        <w:t xml:space="preserve">trading partners through </w:t>
      </w:r>
      <w:r>
        <w:rPr>
          <w:lang w:eastAsia="ja-JP"/>
        </w:rPr>
        <w:t>the</w:t>
      </w:r>
      <w:r w:rsidR="00B10E8D">
        <w:rPr>
          <w:lang w:eastAsia="ja-JP"/>
        </w:rPr>
        <w:t xml:space="preserve"> </w:t>
      </w:r>
      <w:r>
        <w:rPr>
          <w:lang w:eastAsia="ja-JP"/>
        </w:rPr>
        <w:t>World Organisation for Animal Health or International Plant Protection Convention. When this notification occurs, it can trigger international trade restrictions on affected plants</w:t>
      </w:r>
      <w:r w:rsidR="00D9177A">
        <w:rPr>
          <w:lang w:eastAsia="ja-JP"/>
        </w:rPr>
        <w:t xml:space="preserve"> and produce</w:t>
      </w:r>
      <w:r>
        <w:rPr>
          <w:lang w:eastAsia="ja-JP"/>
        </w:rPr>
        <w:t xml:space="preserve">, animals </w:t>
      </w:r>
      <w:r w:rsidR="00941C39">
        <w:rPr>
          <w:lang w:eastAsia="ja-JP"/>
        </w:rPr>
        <w:t>and</w:t>
      </w:r>
      <w:r>
        <w:rPr>
          <w:lang w:eastAsia="ja-JP"/>
        </w:rPr>
        <w:t xml:space="preserve"> associated products.</w:t>
      </w:r>
    </w:p>
    <w:p w14:paraId="63EC64BE" w14:textId="77777777" w:rsidR="00742F2A" w:rsidRDefault="00742F2A" w:rsidP="00607625">
      <w:pPr>
        <w:pStyle w:val="Heading3"/>
        <w:numPr>
          <w:ilvl w:val="0"/>
          <w:numId w:val="0"/>
        </w:numPr>
        <w:ind w:left="964" w:hanging="964"/>
        <w:rPr>
          <w:lang w:eastAsia="ja-JP"/>
        </w:rPr>
      </w:pPr>
      <w:bookmarkStart w:id="8" w:name="_Toc230893534"/>
      <w:r>
        <w:rPr>
          <w:lang w:eastAsia="ja-JP"/>
        </w:rPr>
        <w:lastRenderedPageBreak/>
        <w:t>Incidents involving animals</w:t>
      </w:r>
      <w:bookmarkEnd w:id="8"/>
    </w:p>
    <w:p w14:paraId="7EE1BA6A" w14:textId="33F50984" w:rsidR="00742F2A" w:rsidRDefault="00742F2A" w:rsidP="00742F2A">
      <w:pPr>
        <w:rPr>
          <w:lang w:eastAsia="ja-JP"/>
        </w:rPr>
      </w:pPr>
      <w:r>
        <w:rPr>
          <w:lang w:eastAsia="ja-JP"/>
        </w:rPr>
        <w:t>Whe</w:t>
      </w:r>
      <w:r w:rsidR="00AD1059">
        <w:rPr>
          <w:lang w:eastAsia="ja-JP"/>
        </w:rPr>
        <w:t>n</w:t>
      </w:r>
      <w:r>
        <w:rPr>
          <w:lang w:eastAsia="ja-JP"/>
        </w:rPr>
        <w:t xml:space="preserve"> animals are destroyed for disease control purposes the community can become upset, hostile and uncooperative. One example of this was the 2001 outbreak of foot-and-mouth disease in the United Kingdom. As part of the response to this disease, infected and suspect animals were destroyed and disposed of </w:t>
      </w:r>
      <w:proofErr w:type="spellStart"/>
      <w:r>
        <w:rPr>
          <w:lang w:eastAsia="ja-JP"/>
        </w:rPr>
        <w:t>en</w:t>
      </w:r>
      <w:proofErr w:type="spellEnd"/>
      <w:r>
        <w:rPr>
          <w:lang w:eastAsia="ja-JP"/>
        </w:rPr>
        <w:t xml:space="preserve"> masse. Extensive media coverage was given to the resulting mental health, economic and environmental issues that affected many farmers, their families, and surrounding communities.</w:t>
      </w:r>
    </w:p>
    <w:p w14:paraId="34B97C34" w14:textId="2506A5EC" w:rsidR="00742F2A" w:rsidRDefault="005E2CC4" w:rsidP="00742F2A">
      <w:pPr>
        <w:rPr>
          <w:lang w:eastAsia="ja-JP"/>
        </w:rPr>
      </w:pPr>
      <w:r w:rsidRPr="6DF70003">
        <w:rPr>
          <w:lang w:eastAsia="ja-JP"/>
        </w:rPr>
        <w:t xml:space="preserve">In Australia, diseases such as avian influenza have resulted in losses of millions of poultry and eggs. Hendra virus has taken the lives of horses </w:t>
      </w:r>
      <w:r w:rsidR="5F0242B4" w:rsidRPr="6DF70003">
        <w:rPr>
          <w:lang w:eastAsia="ja-JP"/>
        </w:rPr>
        <w:t>and people</w:t>
      </w:r>
      <w:r w:rsidRPr="6DF70003">
        <w:rPr>
          <w:lang w:eastAsia="ja-JP"/>
        </w:rPr>
        <w:t>, and the potentially fatal canine ehrlichiosis (</w:t>
      </w:r>
      <w:proofErr w:type="spellStart"/>
      <w:r w:rsidR="2E3D4178" w:rsidRPr="6DF70003">
        <w:rPr>
          <w:i/>
          <w:iCs/>
        </w:rPr>
        <w:t>Ehrlichia</w:t>
      </w:r>
      <w:proofErr w:type="spellEnd"/>
      <w:r w:rsidR="2E3D4178" w:rsidRPr="6DF70003">
        <w:rPr>
          <w:i/>
          <w:iCs/>
          <w:lang w:eastAsia="ja-JP"/>
        </w:rPr>
        <w:t xml:space="preserve"> </w:t>
      </w:r>
      <w:proofErr w:type="spellStart"/>
      <w:r w:rsidRPr="6DF70003">
        <w:rPr>
          <w:i/>
          <w:iCs/>
          <w:lang w:eastAsia="ja-JP"/>
        </w:rPr>
        <w:t>canis</w:t>
      </w:r>
      <w:proofErr w:type="spellEnd"/>
      <w:r w:rsidRPr="6DF70003">
        <w:rPr>
          <w:lang w:eastAsia="ja-JP"/>
        </w:rPr>
        <w:t>) continues to impact dogs across northern Australia.</w:t>
      </w:r>
    </w:p>
    <w:p w14:paraId="528B0AB3" w14:textId="11E6C300" w:rsidR="005C121B" w:rsidRDefault="00742F2A" w:rsidP="00742F2A">
      <w:pPr>
        <w:rPr>
          <w:lang w:eastAsia="ja-JP"/>
        </w:rPr>
      </w:pPr>
      <w:r>
        <w:rPr>
          <w:lang w:eastAsia="ja-JP"/>
        </w:rPr>
        <w:t>Many people hold a high level of emotional attachment to their animals.</w:t>
      </w:r>
      <w:r w:rsidR="00F6688C">
        <w:rPr>
          <w:lang w:eastAsia="ja-JP"/>
        </w:rPr>
        <w:t xml:space="preserve"> </w:t>
      </w:r>
      <w:r>
        <w:rPr>
          <w:lang w:eastAsia="ja-JP"/>
        </w:rPr>
        <w:t>Acknowledging this and showing empathy is important, especially through public spokespeople.</w:t>
      </w:r>
    </w:p>
    <w:p w14:paraId="5BE9CAB5" w14:textId="3AE736D2" w:rsidR="00742F2A" w:rsidRDefault="00742F2A" w:rsidP="00742F2A">
      <w:pPr>
        <w:rPr>
          <w:lang w:eastAsia="ja-JP"/>
        </w:rPr>
      </w:pPr>
      <w:r>
        <w:rPr>
          <w:lang w:eastAsia="ja-JP"/>
        </w:rPr>
        <w:t>Some incidents can spark national and international public concern and attract the attention of animal welfare activists. These situations often lead to diminished trust in government and industry processes and can erode the government’s social licen</w:t>
      </w:r>
      <w:r w:rsidR="003212E4">
        <w:rPr>
          <w:lang w:eastAsia="ja-JP"/>
        </w:rPr>
        <w:t>c</w:t>
      </w:r>
      <w:r>
        <w:rPr>
          <w:lang w:eastAsia="ja-JP"/>
        </w:rPr>
        <w:t xml:space="preserve">e to operate. To help maintain public confidence, </w:t>
      </w:r>
      <w:r w:rsidRPr="002D5F70">
        <w:rPr>
          <w:lang w:eastAsia="ja-JP"/>
        </w:rPr>
        <w:t>it’s</w:t>
      </w:r>
      <w:r>
        <w:rPr>
          <w:lang w:eastAsia="ja-JP"/>
        </w:rPr>
        <w:t xml:space="preserve"> essential to provide timely, accurate information and engage transparently with stakeholders. Ensuring that trusted sources of truth are available helps balance public debate. Additionally, government and industry spokespeople should communicate with empathy and demonstrate a clear understanding of the impacts</w:t>
      </w:r>
      <w:r w:rsidR="00246FB8">
        <w:rPr>
          <w:lang w:eastAsia="ja-JP"/>
        </w:rPr>
        <w:t xml:space="preserve"> – </w:t>
      </w:r>
      <w:r>
        <w:rPr>
          <w:lang w:eastAsia="ja-JP"/>
        </w:rPr>
        <w:t>this is a vital component of effective public communication during any incident</w:t>
      </w:r>
      <w:r w:rsidR="00E61A0E">
        <w:rPr>
          <w:lang w:eastAsia="ja-JP"/>
        </w:rPr>
        <w:t xml:space="preserve"> or </w:t>
      </w:r>
      <w:r>
        <w:rPr>
          <w:lang w:eastAsia="ja-JP"/>
        </w:rPr>
        <w:t>disaster.</w:t>
      </w:r>
    </w:p>
    <w:p w14:paraId="12CD0513" w14:textId="1E01BAD8" w:rsidR="007970E8" w:rsidRPr="00B36D8D" w:rsidRDefault="007970E8" w:rsidP="007970E8">
      <w:pPr>
        <w:rPr>
          <w:lang w:eastAsia="ja-JP"/>
        </w:rPr>
      </w:pPr>
      <w:r w:rsidRPr="00B36D8D">
        <w:rPr>
          <w:lang w:eastAsia="ja-JP"/>
        </w:rPr>
        <w:t xml:space="preserve">[NBCEN </w:t>
      </w:r>
      <w:r w:rsidR="00AC2881" w:rsidRPr="00B36D8D">
        <w:rPr>
          <w:lang w:eastAsia="ja-JP"/>
        </w:rPr>
        <w:t>member reference:</w:t>
      </w:r>
      <w:r w:rsidR="0C2AB0F3" w:rsidRPr="79702DDC">
        <w:rPr>
          <w:rFonts w:ascii="Calibri" w:eastAsia="Calibri" w:hAnsi="Calibri" w:cs="Arial"/>
        </w:rPr>
        <w:t xml:space="preserve"> Maintaining stakeholder social licen</w:t>
      </w:r>
      <w:r w:rsidR="004E09BF">
        <w:rPr>
          <w:rFonts w:ascii="Calibri" w:eastAsia="Calibri" w:hAnsi="Calibri" w:cs="Arial"/>
        </w:rPr>
        <w:t>c</w:t>
      </w:r>
      <w:r w:rsidR="0C2AB0F3" w:rsidRPr="79702DDC">
        <w:rPr>
          <w:rFonts w:ascii="Calibri" w:eastAsia="Calibri" w:hAnsi="Calibri" w:cs="Arial"/>
        </w:rPr>
        <w:t>e to support EAD responses – communications framework</w:t>
      </w:r>
      <w:r w:rsidRPr="79702DDC">
        <w:rPr>
          <w:lang w:eastAsia="ja-JP"/>
        </w:rPr>
        <w:t>]</w:t>
      </w:r>
    </w:p>
    <w:p w14:paraId="3D155151" w14:textId="77777777" w:rsidR="00124195" w:rsidRPr="00124195" w:rsidRDefault="13534E75" w:rsidP="00124195">
      <w:pPr>
        <w:keepNext/>
        <w:spacing w:after="0"/>
      </w:pPr>
      <w:r>
        <w:rPr>
          <w:noProof/>
        </w:rPr>
        <w:drawing>
          <wp:inline distT="0" distB="0" distL="0" distR="0" wp14:anchorId="10D56FA4" wp14:editId="55F27891">
            <wp:extent cx="1446663" cy="2002998"/>
            <wp:effectExtent l="0" t="0" r="1270" b="0"/>
            <wp:docPr id="1239053171" name="Picture 3" descr="Child holding a pet chicken.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053171" name="Picture 3" descr="Child holding a pet chicken. ">
                      <a:extLst>
                        <a:ext uri="{C183D7F6-B498-43B3-948B-1728B52AA6E4}">
                          <adec:decorative xmlns:adec="http://schemas.microsoft.com/office/drawing/2017/decorative" val="0"/>
                        </a:ext>
                      </a:extLst>
                    </pic:cNvPr>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460889" cy="2022695"/>
                    </a:xfrm>
                    <a:prstGeom prst="rect">
                      <a:avLst/>
                    </a:prstGeom>
                  </pic:spPr>
                </pic:pic>
              </a:graphicData>
            </a:graphic>
          </wp:inline>
        </w:drawing>
      </w:r>
    </w:p>
    <w:p w14:paraId="373123B7" w14:textId="27E703CA" w:rsidR="001A1CEC" w:rsidRPr="00F93897" w:rsidRDefault="527AA0A7" w:rsidP="00BF777A">
      <w:pPr>
        <w:pStyle w:val="FigureTableNoteSource"/>
      </w:pPr>
      <w:r>
        <w:t>Photo courtesy</w:t>
      </w:r>
      <w:r w:rsidR="74874FF8">
        <w:t xml:space="preserve"> of</w:t>
      </w:r>
      <w:r>
        <w:t xml:space="preserve"> S Gibbons.</w:t>
      </w:r>
    </w:p>
    <w:p w14:paraId="65924262" w14:textId="77777777" w:rsidR="00742F2A" w:rsidRDefault="00742F2A" w:rsidP="00B36D8D">
      <w:pPr>
        <w:pStyle w:val="Heading3"/>
        <w:numPr>
          <w:ilvl w:val="0"/>
          <w:numId w:val="0"/>
        </w:numPr>
        <w:ind w:left="964" w:hanging="964"/>
        <w:rPr>
          <w:lang w:eastAsia="ja-JP"/>
        </w:rPr>
      </w:pPr>
      <w:bookmarkStart w:id="9" w:name="_Toc230893535"/>
      <w:r>
        <w:rPr>
          <w:lang w:eastAsia="ja-JP"/>
        </w:rPr>
        <w:t>Language considerations</w:t>
      </w:r>
      <w:bookmarkEnd w:id="9"/>
    </w:p>
    <w:p w14:paraId="3709A383" w14:textId="505550E0" w:rsidR="00742F2A" w:rsidRDefault="00742F2A" w:rsidP="00742F2A">
      <w:pPr>
        <w:rPr>
          <w:lang w:eastAsia="ja-JP"/>
        </w:rPr>
      </w:pPr>
      <w:r>
        <w:rPr>
          <w:lang w:eastAsia="ja-JP"/>
        </w:rPr>
        <w:t xml:space="preserve">Producers, industry professionals and the public respond differently to messaging. When targeting communications, consideration needs to be given to the language, </w:t>
      </w:r>
      <w:r w:rsidR="003212E4">
        <w:rPr>
          <w:lang w:eastAsia="ja-JP"/>
        </w:rPr>
        <w:t xml:space="preserve">the </w:t>
      </w:r>
      <w:r>
        <w:rPr>
          <w:lang w:eastAsia="ja-JP"/>
        </w:rPr>
        <w:t>tone and who may be best placed to deliver the message. Trusted networks, local voices, and culturally appropriate methods are key to ensuring effective engagement and compliance.</w:t>
      </w:r>
    </w:p>
    <w:p w14:paraId="17B64374" w14:textId="71395811" w:rsidR="00742F2A" w:rsidRDefault="00607625" w:rsidP="00607625">
      <w:pPr>
        <w:pStyle w:val="Heading2"/>
        <w:numPr>
          <w:ilvl w:val="0"/>
          <w:numId w:val="0"/>
        </w:numPr>
        <w:ind w:left="720" w:hanging="720"/>
      </w:pPr>
      <w:bookmarkStart w:id="10" w:name="_Toc230893536"/>
      <w:r>
        <w:lastRenderedPageBreak/>
        <w:t>Response arrangements in Australia</w:t>
      </w:r>
      <w:bookmarkEnd w:id="10"/>
    </w:p>
    <w:p w14:paraId="4D58B2C4" w14:textId="0B211910" w:rsidR="00607625" w:rsidRDefault="00607625" w:rsidP="00607625">
      <w:pPr>
        <w:rPr>
          <w:lang w:eastAsia="ja-JP"/>
        </w:rPr>
      </w:pPr>
      <w:r>
        <w:rPr>
          <w:lang w:eastAsia="ja-JP"/>
        </w:rPr>
        <w:t xml:space="preserve">Biosecurity and agriculture agencies use well-established and nationally agreed arrangements to respond to pest and disease emergencies. The </w:t>
      </w:r>
      <w:hyperlink r:id="rId23" w:history="1">
        <w:r w:rsidRPr="00607625">
          <w:rPr>
            <w:rStyle w:val="Hyperlink"/>
            <w:lang w:eastAsia="ja-JP"/>
          </w:rPr>
          <w:t>Australasian Inter-service Incident Management System (AIIMS)</w:t>
        </w:r>
      </w:hyperlink>
      <w:r>
        <w:rPr>
          <w:lang w:eastAsia="ja-JP"/>
        </w:rPr>
        <w:t xml:space="preserve"> is the nationally recognised system used by Australian emergency service agencies to respond to incidents </w:t>
      </w:r>
      <w:r w:rsidR="003212E4">
        <w:rPr>
          <w:lang w:eastAsia="ja-JP"/>
        </w:rPr>
        <w:t xml:space="preserve">such as </w:t>
      </w:r>
      <w:r>
        <w:rPr>
          <w:lang w:eastAsia="ja-JP"/>
        </w:rPr>
        <w:t>floods</w:t>
      </w:r>
      <w:r w:rsidR="003212E4">
        <w:rPr>
          <w:lang w:eastAsia="ja-JP"/>
        </w:rPr>
        <w:t xml:space="preserve"> and</w:t>
      </w:r>
      <w:r>
        <w:rPr>
          <w:lang w:eastAsia="ja-JP"/>
        </w:rPr>
        <w:t xml:space="preserve"> fires. Most jurisdictions base their response system on AIIMS.</w:t>
      </w:r>
    </w:p>
    <w:p w14:paraId="5ECEF014" w14:textId="0FCB3436" w:rsidR="00607625" w:rsidRDefault="00607625" w:rsidP="00607625">
      <w:pPr>
        <w:rPr>
          <w:lang w:eastAsia="ja-JP"/>
        </w:rPr>
      </w:pPr>
      <w:r>
        <w:rPr>
          <w:lang w:eastAsia="ja-JP"/>
        </w:rPr>
        <w:t xml:space="preserve">AIIMS is based on </w:t>
      </w:r>
      <w:r w:rsidR="003212E4">
        <w:rPr>
          <w:lang w:eastAsia="ja-JP"/>
        </w:rPr>
        <w:t xml:space="preserve">6 </w:t>
      </w:r>
      <w:r>
        <w:rPr>
          <w:lang w:eastAsia="ja-JP"/>
        </w:rPr>
        <w:t>fundamental principles:</w:t>
      </w:r>
    </w:p>
    <w:p w14:paraId="43DD182A" w14:textId="019EB458" w:rsidR="00607625" w:rsidRPr="00124195" w:rsidRDefault="004B07DE" w:rsidP="00124195">
      <w:pPr>
        <w:pStyle w:val="ListBullet"/>
      </w:pPr>
      <w:r w:rsidRPr="00124195">
        <w:t>s</w:t>
      </w:r>
      <w:r w:rsidR="00607625" w:rsidRPr="00124195">
        <w:t>afety first</w:t>
      </w:r>
    </w:p>
    <w:p w14:paraId="13F4E87D" w14:textId="40793457" w:rsidR="00607625" w:rsidRPr="00124195" w:rsidRDefault="004B07DE" w:rsidP="00124195">
      <w:pPr>
        <w:pStyle w:val="ListBullet"/>
      </w:pPr>
      <w:r w:rsidRPr="00124195">
        <w:t>m</w:t>
      </w:r>
      <w:r w:rsidR="00607625" w:rsidRPr="00124195">
        <w:t>anagement by objectives</w:t>
      </w:r>
    </w:p>
    <w:p w14:paraId="3587C619" w14:textId="04D9B312" w:rsidR="00607625" w:rsidRPr="00124195" w:rsidRDefault="004B07DE" w:rsidP="00124195">
      <w:pPr>
        <w:pStyle w:val="ListBullet"/>
      </w:pPr>
      <w:r w:rsidRPr="00124195">
        <w:t>f</w:t>
      </w:r>
      <w:r w:rsidR="00607625" w:rsidRPr="00124195">
        <w:t>unctional management</w:t>
      </w:r>
    </w:p>
    <w:p w14:paraId="34C779E2" w14:textId="2EB760BA" w:rsidR="00607625" w:rsidRPr="00124195" w:rsidRDefault="004B07DE" w:rsidP="00124195">
      <w:pPr>
        <w:pStyle w:val="ListBullet"/>
      </w:pPr>
      <w:r w:rsidRPr="00124195">
        <w:t>s</w:t>
      </w:r>
      <w:r w:rsidR="00607625" w:rsidRPr="00124195">
        <w:t>pan of control</w:t>
      </w:r>
    </w:p>
    <w:p w14:paraId="639BB3E8" w14:textId="4C069956" w:rsidR="00607625" w:rsidRPr="00124195" w:rsidRDefault="004B07DE" w:rsidP="00124195">
      <w:pPr>
        <w:pStyle w:val="ListBullet"/>
      </w:pPr>
      <w:r w:rsidRPr="00124195">
        <w:t>f</w:t>
      </w:r>
      <w:r w:rsidR="00607625" w:rsidRPr="00124195">
        <w:t>lexibility</w:t>
      </w:r>
    </w:p>
    <w:p w14:paraId="6751BF31" w14:textId="343542F2" w:rsidR="00607625" w:rsidRPr="00124195" w:rsidRDefault="004B07DE" w:rsidP="00124195">
      <w:pPr>
        <w:pStyle w:val="ListBullet"/>
      </w:pPr>
      <w:r w:rsidRPr="00124195">
        <w:t>u</w:t>
      </w:r>
      <w:r w:rsidR="00607625" w:rsidRPr="00124195">
        <w:t>nity of command.</w:t>
      </w:r>
    </w:p>
    <w:p w14:paraId="70B00729" w14:textId="052BEBAA" w:rsidR="00607625" w:rsidRDefault="00607625" w:rsidP="00607625">
      <w:pPr>
        <w:rPr>
          <w:lang w:eastAsia="ja-JP"/>
        </w:rPr>
      </w:pPr>
      <w:r>
        <w:rPr>
          <w:lang w:eastAsia="ja-JP"/>
        </w:rPr>
        <w:t>All biosecurity incidents require some level of communication support. The Public Information function is therefore scalable and can be applied across all incidents, regardless of the incident level or scale of impact.</w:t>
      </w:r>
    </w:p>
    <w:p w14:paraId="436181A5" w14:textId="283453B0" w:rsidR="00607625" w:rsidRDefault="00CA6B70" w:rsidP="00F93897">
      <w:pPr>
        <w:pStyle w:val="Caption"/>
      </w:pPr>
      <w:bookmarkStart w:id="11" w:name="Figure_1"/>
      <w:bookmarkStart w:id="12" w:name="_Toc230893547"/>
      <w:bookmarkEnd w:id="11"/>
      <w:r w:rsidRPr="00F254C1">
        <w:t>Figure</w:t>
      </w:r>
      <w:r>
        <w:t xml:space="preserve"> </w:t>
      </w:r>
      <w:r>
        <w:fldChar w:fldCharType="begin"/>
      </w:r>
      <w:r>
        <w:instrText>SEQ Figure \* ARABIC</w:instrText>
      </w:r>
      <w:r>
        <w:fldChar w:fldCharType="separate"/>
      </w:r>
      <w:r w:rsidR="00B45F57">
        <w:rPr>
          <w:noProof/>
        </w:rPr>
        <w:t>1</w:t>
      </w:r>
      <w:r>
        <w:fldChar w:fldCharType="end"/>
      </w:r>
      <w:r>
        <w:t xml:space="preserve"> </w:t>
      </w:r>
      <w:r w:rsidRPr="009917B6">
        <w:t>Fully expanded AIIMS structure</w:t>
      </w:r>
      <w:bookmarkEnd w:id="12"/>
    </w:p>
    <w:p w14:paraId="21FD722A" w14:textId="4EF986CC" w:rsidR="00E76A29" w:rsidRDefault="00E76A29" w:rsidP="00E76A29">
      <w:pPr>
        <w:rPr>
          <w:lang w:eastAsia="ja-JP"/>
        </w:rPr>
      </w:pPr>
      <w:r w:rsidRPr="00E76A29">
        <w:rPr>
          <w:noProof/>
        </w:rPr>
        <w:drawing>
          <wp:inline distT="0" distB="0" distL="0" distR="0" wp14:anchorId="55B51CDF" wp14:editId="1C1BB65D">
            <wp:extent cx="4933340" cy="3532619"/>
            <wp:effectExtent l="19050" t="19050" r="19685" b="10795"/>
            <wp:docPr id="629076751" name="drawing" descr="The AIIMS incident management structure used by Australian emergency services. From top to bottom, it comprises:&#10;1. Jurisdictional arrangements&#10;2. Agency chain of command&#10;3. Recovery officer, Incident control, Liaison officer&#10;4. Deputy incident controller&#10;5. Safety officer&#10;6. Planning, Intelligence, Public information, Operations, Investigation, Logistics, F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76751" name="drawing" descr="The AIIMS incident management structure used by Australian emergency services. From top to bottom, it comprises:&#10;1. Jurisdictional arrangements&#10;2. Agency chain of command&#10;3. Recovery officer, Incident control, Liaison officer&#10;4. Deputy incident controller&#10;5. Safety officer&#10;6. Planning, Intelligence, Public information, Operations, Investigation, Logistics, Finance"/>
                    <pic:cNvPicPr/>
                  </pic:nvPicPr>
                  <pic:blipFill>
                    <a:blip r:embed="rId24">
                      <a:extLst>
                        <a:ext uri="{28A0092B-C50C-407E-A947-70E740481C1C}">
                          <a14:useLocalDpi xmlns:a14="http://schemas.microsoft.com/office/drawing/2010/main"/>
                        </a:ext>
                      </a:extLst>
                    </a:blip>
                    <a:srcRect b="13396"/>
                    <a:stretch>
                      <a:fillRect/>
                    </a:stretch>
                  </pic:blipFill>
                  <pic:spPr>
                    <a:xfrm>
                      <a:off x="0" y="0"/>
                      <a:ext cx="4940852" cy="3537998"/>
                    </a:xfrm>
                    <a:prstGeom prst="rect">
                      <a:avLst/>
                    </a:prstGeom>
                    <a:ln w="9525">
                      <a:solidFill>
                        <a:schemeClr val="tx1"/>
                      </a:solidFill>
                    </a:ln>
                  </pic:spPr>
                </pic:pic>
              </a:graphicData>
            </a:graphic>
          </wp:inline>
        </w:drawing>
      </w:r>
    </w:p>
    <w:p w14:paraId="5C14751A" w14:textId="5D8ECD4C" w:rsidR="00E76A29" w:rsidRDefault="00E76A29" w:rsidP="00E76A29">
      <w:pPr>
        <w:pStyle w:val="FigureTableNoteSource"/>
        <w:rPr>
          <w:lang w:eastAsia="ja-JP"/>
        </w:rPr>
      </w:pPr>
      <w:r w:rsidRPr="004B07DE">
        <w:rPr>
          <w:lang w:eastAsia="ja-JP"/>
        </w:rPr>
        <w:t>Source: Australasian Fire and Emergency Services Authorities Council 2025</w:t>
      </w:r>
      <w:r w:rsidR="004B07DE">
        <w:rPr>
          <w:lang w:eastAsia="ja-JP"/>
        </w:rPr>
        <w:t>,</w:t>
      </w:r>
      <w:r w:rsidRPr="004B07DE">
        <w:rPr>
          <w:lang w:eastAsia="ja-JP"/>
        </w:rPr>
        <w:t xml:space="preserve"> </w:t>
      </w:r>
      <w:r w:rsidRPr="00CB4857">
        <w:rPr>
          <w:lang w:eastAsia="ja-JP"/>
        </w:rPr>
        <w:t>The Australasian Inter-</w:t>
      </w:r>
      <w:proofErr w:type="gramStart"/>
      <w:r w:rsidRPr="00CB4857">
        <w:rPr>
          <w:lang w:eastAsia="ja-JP"/>
        </w:rPr>
        <w:t>service</w:t>
      </w:r>
      <w:proofErr w:type="gramEnd"/>
      <w:r w:rsidRPr="00CB4857">
        <w:rPr>
          <w:lang w:eastAsia="ja-JP"/>
        </w:rPr>
        <w:t xml:space="preserve"> Incident Management System</w:t>
      </w:r>
      <w:r w:rsidR="004B07DE">
        <w:rPr>
          <w:lang w:eastAsia="ja-JP"/>
        </w:rPr>
        <w:t>,</w:t>
      </w:r>
      <w:r w:rsidRPr="004B07DE">
        <w:rPr>
          <w:lang w:eastAsia="ja-JP"/>
        </w:rPr>
        <w:t xml:space="preserve"> AFAC, Melbourne.</w:t>
      </w:r>
    </w:p>
    <w:p w14:paraId="75CC7EE6" w14:textId="64892E72" w:rsidR="00B16192" w:rsidRDefault="00B16192" w:rsidP="00B24C47">
      <w:pPr>
        <w:rPr>
          <w:lang w:eastAsia="ja-JP"/>
        </w:rPr>
      </w:pPr>
      <w:hyperlink w:anchor="Figure_1" w:history="1">
        <w:r w:rsidRPr="00F76B44">
          <w:rPr>
            <w:rStyle w:val="Hyperlink"/>
            <w:lang w:eastAsia="ja-JP"/>
          </w:rPr>
          <w:t>Figure 1</w:t>
        </w:r>
      </w:hyperlink>
      <w:r w:rsidRPr="00F76B44">
        <w:rPr>
          <w:lang w:eastAsia="ja-JP"/>
        </w:rPr>
        <w:t xml:space="preserve"> shows the AIIMS incident management structure used by Australian emergency services. Biosecurity agencies have adapted this structure for use at a </w:t>
      </w:r>
      <w:r w:rsidR="00BF777A">
        <w:rPr>
          <w:lang w:eastAsia="ja-JP"/>
        </w:rPr>
        <w:t>L</w:t>
      </w:r>
      <w:r w:rsidRPr="00B24C47">
        <w:rPr>
          <w:lang w:eastAsia="ja-JP"/>
        </w:rPr>
        <w:t xml:space="preserve">ocal </w:t>
      </w:r>
      <w:r w:rsidR="00BF777A">
        <w:rPr>
          <w:lang w:eastAsia="ja-JP"/>
        </w:rPr>
        <w:t>C</w:t>
      </w:r>
      <w:r w:rsidRPr="00B24C47">
        <w:rPr>
          <w:lang w:eastAsia="ja-JP"/>
        </w:rPr>
        <w:t xml:space="preserve">ontrol </w:t>
      </w:r>
      <w:r w:rsidR="00BF777A">
        <w:rPr>
          <w:lang w:eastAsia="ja-JP"/>
        </w:rPr>
        <w:t>C</w:t>
      </w:r>
      <w:r w:rsidRPr="00B24C47">
        <w:rPr>
          <w:lang w:eastAsia="ja-JP"/>
        </w:rPr>
        <w:t xml:space="preserve">entre (LCC), </w:t>
      </w:r>
      <w:r w:rsidR="00BF777A">
        <w:rPr>
          <w:lang w:eastAsia="ja-JP"/>
        </w:rPr>
        <w:t>S</w:t>
      </w:r>
      <w:r w:rsidRPr="00B24C47">
        <w:rPr>
          <w:lang w:eastAsia="ja-JP"/>
        </w:rPr>
        <w:t xml:space="preserve">tate </w:t>
      </w:r>
      <w:r w:rsidR="006A4066">
        <w:rPr>
          <w:lang w:eastAsia="ja-JP"/>
        </w:rPr>
        <w:t>Control or C</w:t>
      </w:r>
      <w:r w:rsidRPr="00B24C47">
        <w:rPr>
          <w:lang w:eastAsia="ja-JP"/>
        </w:rPr>
        <w:t xml:space="preserve">oordination </w:t>
      </w:r>
      <w:r w:rsidR="00BF777A">
        <w:rPr>
          <w:lang w:eastAsia="ja-JP"/>
        </w:rPr>
        <w:t>C</w:t>
      </w:r>
      <w:r w:rsidRPr="00B24C47">
        <w:rPr>
          <w:lang w:eastAsia="ja-JP"/>
        </w:rPr>
        <w:t xml:space="preserve">entre (SCC) or </w:t>
      </w:r>
      <w:r w:rsidR="00BF777A">
        <w:rPr>
          <w:lang w:eastAsia="ja-JP"/>
        </w:rPr>
        <w:t>N</w:t>
      </w:r>
      <w:r w:rsidRPr="00B24C47">
        <w:rPr>
          <w:lang w:eastAsia="ja-JP"/>
        </w:rPr>
        <w:t xml:space="preserve">ational </w:t>
      </w:r>
      <w:r w:rsidR="00BF777A">
        <w:rPr>
          <w:lang w:eastAsia="ja-JP"/>
        </w:rPr>
        <w:t>C</w:t>
      </w:r>
      <w:r w:rsidRPr="00B24C47">
        <w:rPr>
          <w:lang w:eastAsia="ja-JP"/>
        </w:rPr>
        <w:t xml:space="preserve">oordination </w:t>
      </w:r>
      <w:r w:rsidR="00BF777A">
        <w:rPr>
          <w:lang w:eastAsia="ja-JP"/>
        </w:rPr>
        <w:t>C</w:t>
      </w:r>
      <w:r w:rsidRPr="00B24C47">
        <w:rPr>
          <w:lang w:eastAsia="ja-JP"/>
        </w:rPr>
        <w:t xml:space="preserve">entre (NCC). The size of an </w:t>
      </w:r>
      <w:r w:rsidR="00BF777A">
        <w:rPr>
          <w:lang w:eastAsia="ja-JP"/>
        </w:rPr>
        <w:t>I</w:t>
      </w:r>
      <w:r w:rsidRPr="00B24C47">
        <w:rPr>
          <w:lang w:eastAsia="ja-JP"/>
        </w:rPr>
        <w:t xml:space="preserve">ncident </w:t>
      </w:r>
      <w:r w:rsidR="00BF777A">
        <w:rPr>
          <w:lang w:eastAsia="ja-JP"/>
        </w:rPr>
        <w:t>M</w:t>
      </w:r>
      <w:r w:rsidRPr="00B24C47">
        <w:rPr>
          <w:lang w:eastAsia="ja-JP"/>
        </w:rPr>
        <w:t xml:space="preserve">anagement </w:t>
      </w:r>
      <w:r w:rsidR="00BF777A">
        <w:rPr>
          <w:lang w:eastAsia="ja-JP"/>
        </w:rPr>
        <w:t>T</w:t>
      </w:r>
      <w:r w:rsidRPr="00B24C47">
        <w:rPr>
          <w:lang w:eastAsia="ja-JP"/>
        </w:rPr>
        <w:t>eam (IMT) can be scaled up or down, depending on the level of response required.</w:t>
      </w:r>
    </w:p>
    <w:p w14:paraId="69A50374" w14:textId="67502338" w:rsidR="007B6EB4" w:rsidRPr="007B6EB4" w:rsidRDefault="007B6EB4" w:rsidP="00F93897">
      <w:pPr>
        <w:pStyle w:val="Caption"/>
      </w:pPr>
      <w:bookmarkStart w:id="13" w:name="Table_1"/>
      <w:bookmarkStart w:id="14" w:name="_Toc230893545"/>
      <w:r>
        <w:t xml:space="preserve">Table </w:t>
      </w:r>
      <w:r>
        <w:fldChar w:fldCharType="begin"/>
      </w:r>
      <w:r>
        <w:instrText>SEQ Table \* ARABIC</w:instrText>
      </w:r>
      <w:r>
        <w:fldChar w:fldCharType="separate"/>
      </w:r>
      <w:r w:rsidR="00E01493">
        <w:rPr>
          <w:noProof/>
        </w:rPr>
        <w:t>1</w:t>
      </w:r>
      <w:r>
        <w:fldChar w:fldCharType="end"/>
      </w:r>
      <w:bookmarkEnd w:id="13"/>
      <w:r>
        <w:t xml:space="preserve"> </w:t>
      </w:r>
      <w:r w:rsidRPr="008F6B5C">
        <w:t>Incident Management Team function description</w:t>
      </w:r>
      <w:bookmarkEnd w:id="14"/>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1390"/>
        <w:gridCol w:w="7680"/>
      </w:tblGrid>
      <w:tr w:rsidR="007B6EB4" w:rsidRPr="00B16192" w14:paraId="3F233F60" w14:textId="77777777" w:rsidTr="007B6EB4">
        <w:trPr>
          <w:cantSplit/>
          <w:tblHeader/>
        </w:trPr>
        <w:tc>
          <w:tcPr>
            <w:tcW w:w="0" w:type="auto"/>
            <w:tcMar>
              <w:left w:w="108" w:type="dxa"/>
              <w:right w:w="108" w:type="dxa"/>
            </w:tcMar>
          </w:tcPr>
          <w:p w14:paraId="2B048537" w14:textId="69508026" w:rsidR="007B6EB4" w:rsidRPr="00B16192" w:rsidRDefault="007B6EB4" w:rsidP="0050004E">
            <w:pPr>
              <w:pStyle w:val="TableHeading"/>
            </w:pPr>
            <w:r>
              <w:t>Function</w:t>
            </w:r>
          </w:p>
        </w:tc>
        <w:tc>
          <w:tcPr>
            <w:tcW w:w="0" w:type="auto"/>
            <w:tcMar>
              <w:left w:w="108" w:type="dxa"/>
              <w:right w:w="108" w:type="dxa"/>
            </w:tcMar>
          </w:tcPr>
          <w:p w14:paraId="677756AF" w14:textId="3BF7814F" w:rsidR="007B6EB4" w:rsidRPr="00B16192" w:rsidRDefault="007B6EB4" w:rsidP="007B6EB4">
            <w:pPr>
              <w:pStyle w:val="TableHeading"/>
            </w:pPr>
            <w:r>
              <w:t>Description</w:t>
            </w:r>
          </w:p>
        </w:tc>
      </w:tr>
      <w:tr w:rsidR="007B6EB4" w:rsidRPr="00B16192" w14:paraId="5B369F4F" w14:textId="77777777" w:rsidTr="007B6EB4">
        <w:trPr>
          <w:cantSplit/>
          <w:tblHeader/>
        </w:trPr>
        <w:tc>
          <w:tcPr>
            <w:tcW w:w="0" w:type="auto"/>
            <w:tcMar>
              <w:left w:w="108" w:type="dxa"/>
              <w:right w:w="108" w:type="dxa"/>
            </w:tcMar>
          </w:tcPr>
          <w:p w14:paraId="46431D51" w14:textId="7CDC1655" w:rsidR="007B6EB4" w:rsidRPr="00B16192" w:rsidRDefault="007B6EB4" w:rsidP="007B6EB4">
            <w:pPr>
              <w:pStyle w:val="TableText"/>
            </w:pPr>
            <w:r w:rsidRPr="0057228F">
              <w:t>Control</w:t>
            </w:r>
          </w:p>
        </w:tc>
        <w:tc>
          <w:tcPr>
            <w:tcW w:w="0" w:type="auto"/>
            <w:tcMar>
              <w:left w:w="108" w:type="dxa"/>
              <w:right w:w="108" w:type="dxa"/>
            </w:tcMar>
          </w:tcPr>
          <w:p w14:paraId="17C8854B" w14:textId="7FB8AE2F" w:rsidR="007B6EB4" w:rsidRPr="00B16192" w:rsidRDefault="007B6EB4" w:rsidP="007B6EB4">
            <w:pPr>
              <w:pStyle w:val="TableText"/>
            </w:pPr>
            <w:r w:rsidRPr="0062271E">
              <w:t>The management of all activities necessary for the resolution of an incident.</w:t>
            </w:r>
          </w:p>
        </w:tc>
      </w:tr>
      <w:tr w:rsidR="007B6EB4" w:rsidRPr="00B16192" w14:paraId="6140DB55" w14:textId="77777777" w:rsidTr="007B6EB4">
        <w:trPr>
          <w:cantSplit/>
          <w:tblHeader/>
        </w:trPr>
        <w:tc>
          <w:tcPr>
            <w:tcW w:w="0" w:type="auto"/>
            <w:tcMar>
              <w:left w:w="108" w:type="dxa"/>
              <w:right w:w="108" w:type="dxa"/>
            </w:tcMar>
          </w:tcPr>
          <w:p w14:paraId="598A933C" w14:textId="3312F6EE" w:rsidR="007B6EB4" w:rsidRPr="00B16192" w:rsidRDefault="007B6EB4" w:rsidP="007B6EB4">
            <w:pPr>
              <w:pStyle w:val="TableText"/>
            </w:pPr>
            <w:r w:rsidRPr="0057228F">
              <w:t>Planning</w:t>
            </w:r>
          </w:p>
        </w:tc>
        <w:tc>
          <w:tcPr>
            <w:tcW w:w="0" w:type="auto"/>
            <w:tcMar>
              <w:left w:w="108" w:type="dxa"/>
              <w:right w:w="108" w:type="dxa"/>
            </w:tcMar>
          </w:tcPr>
          <w:p w14:paraId="343F3B91" w14:textId="5FC557F4" w:rsidR="007B6EB4" w:rsidRPr="00B16192" w:rsidRDefault="007B6EB4" w:rsidP="007B6EB4">
            <w:pPr>
              <w:pStyle w:val="TableText"/>
            </w:pPr>
            <w:r w:rsidRPr="0062271E">
              <w:t>The development of objectives, strategies and plans for the resolution of an incident and management of immediate consequences for the community.</w:t>
            </w:r>
          </w:p>
        </w:tc>
      </w:tr>
      <w:tr w:rsidR="007B6EB4" w:rsidRPr="00B16192" w14:paraId="7A5C9E8B" w14:textId="77777777" w:rsidTr="007B6EB4">
        <w:trPr>
          <w:cantSplit/>
          <w:tblHeader/>
        </w:trPr>
        <w:tc>
          <w:tcPr>
            <w:tcW w:w="0" w:type="auto"/>
            <w:tcMar>
              <w:left w:w="108" w:type="dxa"/>
              <w:right w:w="108" w:type="dxa"/>
            </w:tcMar>
          </w:tcPr>
          <w:p w14:paraId="102B2815" w14:textId="525B9AF2" w:rsidR="007B6EB4" w:rsidRPr="00B16192" w:rsidRDefault="007B6EB4" w:rsidP="007B6EB4">
            <w:pPr>
              <w:pStyle w:val="TableText"/>
            </w:pPr>
            <w:r w:rsidRPr="0057228F">
              <w:t>Intelligence</w:t>
            </w:r>
          </w:p>
        </w:tc>
        <w:tc>
          <w:tcPr>
            <w:tcW w:w="0" w:type="auto"/>
            <w:tcMar>
              <w:left w:w="108" w:type="dxa"/>
              <w:right w:w="108" w:type="dxa"/>
            </w:tcMar>
          </w:tcPr>
          <w:p w14:paraId="62AD617A" w14:textId="35F4CC4A" w:rsidR="007B6EB4" w:rsidRPr="00B16192" w:rsidRDefault="007B6EB4" w:rsidP="007B6EB4">
            <w:pPr>
              <w:pStyle w:val="TableText"/>
            </w:pPr>
            <w:r w:rsidRPr="0062271E">
              <w:t>The task of collecting and analysing information or data, which is recorded and disseminated as intelligence to support decision</w:t>
            </w:r>
            <w:r w:rsidR="004C2CD8">
              <w:t xml:space="preserve"> </w:t>
            </w:r>
            <w:r w:rsidRPr="0062271E">
              <w:t>making and planning.</w:t>
            </w:r>
          </w:p>
        </w:tc>
      </w:tr>
      <w:tr w:rsidR="007B6EB4" w:rsidRPr="00B16192" w14:paraId="701FA6C6" w14:textId="77777777" w:rsidTr="007B6EB4">
        <w:trPr>
          <w:cantSplit/>
          <w:tblHeader/>
        </w:trPr>
        <w:tc>
          <w:tcPr>
            <w:tcW w:w="0" w:type="auto"/>
            <w:tcMar>
              <w:left w:w="108" w:type="dxa"/>
              <w:right w:w="108" w:type="dxa"/>
            </w:tcMar>
          </w:tcPr>
          <w:p w14:paraId="4E3B2A70" w14:textId="1DDCA798" w:rsidR="007B6EB4" w:rsidRPr="00B16192" w:rsidRDefault="007B6EB4" w:rsidP="007B6EB4">
            <w:pPr>
              <w:pStyle w:val="TableText"/>
            </w:pPr>
            <w:r w:rsidRPr="0057228F">
              <w:t>Public Information</w:t>
            </w:r>
          </w:p>
        </w:tc>
        <w:tc>
          <w:tcPr>
            <w:tcW w:w="0" w:type="auto"/>
            <w:tcMar>
              <w:left w:w="108" w:type="dxa"/>
              <w:right w:w="108" w:type="dxa"/>
            </w:tcMar>
          </w:tcPr>
          <w:p w14:paraId="4ED7F2C3" w14:textId="7410E2B2" w:rsidR="007B6EB4" w:rsidRPr="00B16192" w:rsidRDefault="007B6EB4" w:rsidP="007B6EB4">
            <w:pPr>
              <w:pStyle w:val="TableText"/>
            </w:pPr>
            <w:r w:rsidRPr="0062271E">
              <w:t>Provision of warnings, information and advice to the public, and liaison with the media and affected communities.</w:t>
            </w:r>
          </w:p>
        </w:tc>
      </w:tr>
      <w:tr w:rsidR="007B6EB4" w:rsidRPr="00B16192" w14:paraId="30AA02E8" w14:textId="77777777" w:rsidTr="007B6EB4">
        <w:trPr>
          <w:cantSplit/>
          <w:tblHeader/>
        </w:trPr>
        <w:tc>
          <w:tcPr>
            <w:tcW w:w="0" w:type="auto"/>
            <w:tcMar>
              <w:left w:w="108" w:type="dxa"/>
              <w:right w:w="108" w:type="dxa"/>
            </w:tcMar>
          </w:tcPr>
          <w:p w14:paraId="036846F4" w14:textId="0804F654" w:rsidR="007B6EB4" w:rsidRPr="00B16192" w:rsidRDefault="007B6EB4" w:rsidP="007B6EB4">
            <w:pPr>
              <w:pStyle w:val="TableText"/>
            </w:pPr>
            <w:r w:rsidRPr="0057228F">
              <w:t>Operations</w:t>
            </w:r>
          </w:p>
        </w:tc>
        <w:tc>
          <w:tcPr>
            <w:tcW w:w="0" w:type="auto"/>
            <w:tcMar>
              <w:left w:w="108" w:type="dxa"/>
              <w:right w:w="108" w:type="dxa"/>
            </w:tcMar>
          </w:tcPr>
          <w:p w14:paraId="5276BFD4" w14:textId="75BB7BBE" w:rsidR="007B6EB4" w:rsidRPr="00B16192" w:rsidRDefault="007B6EB4" w:rsidP="007B6EB4">
            <w:pPr>
              <w:pStyle w:val="TableText"/>
            </w:pPr>
            <w:r w:rsidRPr="0062271E">
              <w:t>The tasking and application of resources to achieve resolution of an incident.</w:t>
            </w:r>
          </w:p>
        </w:tc>
      </w:tr>
      <w:tr w:rsidR="007B6EB4" w:rsidRPr="00B16192" w14:paraId="178E2972" w14:textId="77777777" w:rsidTr="007B6EB4">
        <w:trPr>
          <w:cantSplit/>
          <w:tblHeader/>
        </w:trPr>
        <w:tc>
          <w:tcPr>
            <w:tcW w:w="0" w:type="auto"/>
            <w:tcMar>
              <w:left w:w="108" w:type="dxa"/>
              <w:right w:w="108" w:type="dxa"/>
            </w:tcMar>
          </w:tcPr>
          <w:p w14:paraId="149FBFB8" w14:textId="416A9B67" w:rsidR="007B6EB4" w:rsidRPr="00B16192" w:rsidRDefault="007B6EB4" w:rsidP="007B6EB4">
            <w:pPr>
              <w:pStyle w:val="TableText"/>
            </w:pPr>
            <w:r w:rsidRPr="0057228F">
              <w:t>Investigation</w:t>
            </w:r>
          </w:p>
        </w:tc>
        <w:tc>
          <w:tcPr>
            <w:tcW w:w="0" w:type="auto"/>
            <w:tcMar>
              <w:left w:w="108" w:type="dxa"/>
              <w:right w:w="108" w:type="dxa"/>
            </w:tcMar>
          </w:tcPr>
          <w:p w14:paraId="4F8AB6A8" w14:textId="794C9252" w:rsidR="007B6EB4" w:rsidRPr="00B16192" w:rsidRDefault="007B6EB4" w:rsidP="007B6EB4">
            <w:pPr>
              <w:pStyle w:val="TableText"/>
            </w:pPr>
            <w:r w:rsidRPr="0062271E">
              <w:t xml:space="preserve">The task of conducting investigations to determine the cause of an incident </w:t>
            </w:r>
            <w:r w:rsidRPr="0027451B">
              <w:t>and/or</w:t>
            </w:r>
            <w:r w:rsidRPr="0062271E">
              <w:t xml:space="preserve"> to determine factors that contributed to the impact of the incident or specific events.</w:t>
            </w:r>
          </w:p>
        </w:tc>
      </w:tr>
      <w:tr w:rsidR="007B6EB4" w:rsidRPr="00B16192" w14:paraId="7DF7CCBE" w14:textId="77777777" w:rsidTr="007B6EB4">
        <w:trPr>
          <w:cantSplit/>
          <w:tblHeader/>
        </w:trPr>
        <w:tc>
          <w:tcPr>
            <w:tcW w:w="0" w:type="auto"/>
            <w:tcMar>
              <w:left w:w="108" w:type="dxa"/>
              <w:right w:w="108" w:type="dxa"/>
            </w:tcMar>
          </w:tcPr>
          <w:p w14:paraId="79BE4852" w14:textId="31D8A2AC" w:rsidR="007B6EB4" w:rsidRPr="00B16192" w:rsidRDefault="007B6EB4" w:rsidP="007B6EB4">
            <w:pPr>
              <w:pStyle w:val="TableText"/>
            </w:pPr>
            <w:r w:rsidRPr="0057228F">
              <w:t>Logistics</w:t>
            </w:r>
          </w:p>
        </w:tc>
        <w:tc>
          <w:tcPr>
            <w:tcW w:w="0" w:type="auto"/>
            <w:tcMar>
              <w:left w:w="108" w:type="dxa"/>
              <w:right w:w="108" w:type="dxa"/>
            </w:tcMar>
          </w:tcPr>
          <w:p w14:paraId="13E97345" w14:textId="5FCE7EC9" w:rsidR="007B6EB4" w:rsidRPr="00B16192" w:rsidRDefault="007B6EB4" w:rsidP="007B6EB4">
            <w:pPr>
              <w:pStyle w:val="TableText"/>
            </w:pPr>
            <w:r w:rsidRPr="0062271E">
              <w:t>The acquisition and provision of human and physical resources, facilities, services and materials to support achievement of incident objectives.</w:t>
            </w:r>
          </w:p>
        </w:tc>
      </w:tr>
      <w:tr w:rsidR="007B6EB4" w:rsidRPr="00B16192" w14:paraId="17944CAE" w14:textId="77777777" w:rsidTr="007B6EB4">
        <w:trPr>
          <w:cantSplit/>
          <w:tblHeader/>
        </w:trPr>
        <w:tc>
          <w:tcPr>
            <w:tcW w:w="0" w:type="auto"/>
            <w:tcMar>
              <w:left w:w="108" w:type="dxa"/>
              <w:right w:w="108" w:type="dxa"/>
            </w:tcMar>
          </w:tcPr>
          <w:p w14:paraId="4E35DE56" w14:textId="5EE57BAC" w:rsidR="007B6EB4" w:rsidRPr="00B16192" w:rsidRDefault="007B6EB4" w:rsidP="007B6EB4">
            <w:pPr>
              <w:pStyle w:val="TableText"/>
            </w:pPr>
            <w:r w:rsidRPr="0057228F">
              <w:t>Finance</w:t>
            </w:r>
          </w:p>
        </w:tc>
        <w:tc>
          <w:tcPr>
            <w:tcW w:w="0" w:type="auto"/>
            <w:tcMar>
              <w:left w:w="108" w:type="dxa"/>
              <w:right w:w="108" w:type="dxa"/>
            </w:tcMar>
          </w:tcPr>
          <w:p w14:paraId="4457BB30" w14:textId="77777777" w:rsidR="007B6EB4" w:rsidRDefault="007B6EB4" w:rsidP="007B6EB4">
            <w:pPr>
              <w:pStyle w:val="TableText"/>
            </w:pPr>
            <w:r w:rsidRPr="0062271E">
              <w:t>The task of managing:</w:t>
            </w:r>
          </w:p>
          <w:p w14:paraId="67D93C05" w14:textId="77777777" w:rsidR="007B6EB4" w:rsidRPr="007B6EB4" w:rsidRDefault="007B6EB4" w:rsidP="007B6EB4">
            <w:pPr>
              <w:pStyle w:val="TableBullet"/>
            </w:pPr>
            <w:r w:rsidRPr="007B6EB4">
              <w:t>accounts for purchases of supplies and hire of equipment</w:t>
            </w:r>
          </w:p>
          <w:p w14:paraId="1E0F5439" w14:textId="77777777" w:rsidR="007B6EB4" w:rsidRPr="007B6EB4" w:rsidRDefault="007B6EB4" w:rsidP="007B6EB4">
            <w:pPr>
              <w:pStyle w:val="TableBullet"/>
            </w:pPr>
            <w:r w:rsidRPr="007B6EB4">
              <w:t>insurance and compensation for personnel, property and vehicles</w:t>
            </w:r>
          </w:p>
          <w:p w14:paraId="039F7691" w14:textId="0292CC97" w:rsidR="007B6EB4" w:rsidRPr="00B16192" w:rsidRDefault="007B6EB4" w:rsidP="007B6EB4">
            <w:pPr>
              <w:pStyle w:val="TableBullet"/>
            </w:pPr>
            <w:r w:rsidRPr="007B6EB4">
              <w:t>the collection of cost data and provision of cost-effective analyses and providing cost estimates for the incident.</w:t>
            </w:r>
          </w:p>
        </w:tc>
      </w:tr>
    </w:tbl>
    <w:p w14:paraId="1A3641B4" w14:textId="6FA1837E" w:rsidR="00B45F57" w:rsidRDefault="00B45F57" w:rsidP="00B45F57">
      <w:pPr>
        <w:pStyle w:val="Source"/>
        <w:rPr>
          <w:lang w:eastAsia="ja-JP"/>
        </w:rPr>
      </w:pPr>
      <w:r w:rsidRPr="0027451B">
        <w:rPr>
          <w:lang w:eastAsia="ja-JP"/>
        </w:rPr>
        <w:t>Source: Australasian Fire and Emergency Services Authorities Council 2025</w:t>
      </w:r>
      <w:r w:rsidR="0027451B">
        <w:rPr>
          <w:lang w:eastAsia="ja-JP"/>
        </w:rPr>
        <w:t>,</w:t>
      </w:r>
      <w:r w:rsidRPr="0027451B">
        <w:rPr>
          <w:lang w:eastAsia="ja-JP"/>
        </w:rPr>
        <w:t xml:space="preserve"> </w:t>
      </w:r>
      <w:r w:rsidRPr="00CB4857">
        <w:rPr>
          <w:lang w:eastAsia="ja-JP"/>
        </w:rPr>
        <w:t>The Australasian Inter-</w:t>
      </w:r>
      <w:proofErr w:type="gramStart"/>
      <w:r w:rsidRPr="00CB4857">
        <w:rPr>
          <w:lang w:eastAsia="ja-JP"/>
        </w:rPr>
        <w:t>service</w:t>
      </w:r>
      <w:proofErr w:type="gramEnd"/>
      <w:r w:rsidRPr="00CB4857">
        <w:rPr>
          <w:lang w:eastAsia="ja-JP"/>
        </w:rPr>
        <w:t xml:space="preserve"> Incident Management System</w:t>
      </w:r>
      <w:r w:rsidR="0027451B">
        <w:rPr>
          <w:lang w:eastAsia="ja-JP"/>
        </w:rPr>
        <w:t>,</w:t>
      </w:r>
      <w:r w:rsidRPr="0027451B">
        <w:rPr>
          <w:lang w:eastAsia="ja-JP"/>
        </w:rPr>
        <w:t xml:space="preserve"> AFAC, Melbourne.</w:t>
      </w:r>
    </w:p>
    <w:p w14:paraId="039A3A05" w14:textId="346442FB" w:rsidR="00B16192" w:rsidRDefault="00560545" w:rsidP="00B24C47">
      <w:pPr>
        <w:rPr>
          <w:lang w:eastAsia="ja-JP"/>
        </w:rPr>
      </w:pPr>
      <w:hyperlink w:anchor="Table_1" w:history="1">
        <w:r w:rsidRPr="0027451B">
          <w:rPr>
            <w:rStyle w:val="Hyperlink"/>
            <w:lang w:eastAsia="ja-JP"/>
          </w:rPr>
          <w:t>T</w:t>
        </w:r>
        <w:r w:rsidR="00B45F57" w:rsidRPr="007D033E">
          <w:rPr>
            <w:rStyle w:val="Hyperlink"/>
          </w:rPr>
          <w:t>able</w:t>
        </w:r>
        <w:r w:rsidRPr="0027451B">
          <w:rPr>
            <w:rStyle w:val="Hyperlink"/>
            <w:lang w:eastAsia="ja-JP"/>
          </w:rPr>
          <w:t xml:space="preserve"> 1</w:t>
        </w:r>
      </w:hyperlink>
      <w:r w:rsidR="00B45F57" w:rsidRPr="005E47B8">
        <w:rPr>
          <w:lang w:eastAsia="ja-JP"/>
        </w:rPr>
        <w:t xml:space="preserve"> describes what each IMT function is responsible for during an incident</w:t>
      </w:r>
      <w:r>
        <w:rPr>
          <w:lang w:eastAsia="ja-JP"/>
        </w:rPr>
        <w:t>.</w:t>
      </w:r>
      <w:r w:rsidR="00B45F57" w:rsidRPr="00B24C47">
        <w:rPr>
          <w:lang w:eastAsia="ja-JP"/>
        </w:rPr>
        <w:t xml:space="preserve"> </w:t>
      </w:r>
      <w:r>
        <w:rPr>
          <w:lang w:eastAsia="ja-JP"/>
        </w:rPr>
        <w:t>N</w:t>
      </w:r>
      <w:r w:rsidR="00B45F57" w:rsidRPr="00B24C47">
        <w:rPr>
          <w:lang w:eastAsia="ja-JP"/>
        </w:rPr>
        <w:t>ot</w:t>
      </w:r>
      <w:r>
        <w:rPr>
          <w:lang w:eastAsia="ja-JP"/>
        </w:rPr>
        <w:t>e</w:t>
      </w:r>
      <w:r w:rsidR="00B45F57" w:rsidRPr="00B24C47">
        <w:rPr>
          <w:lang w:eastAsia="ja-JP"/>
        </w:rPr>
        <w:t xml:space="preserve"> that the Intelligence function may operate within the </w:t>
      </w:r>
      <w:r w:rsidR="00B24C47">
        <w:rPr>
          <w:lang w:eastAsia="ja-JP"/>
        </w:rPr>
        <w:t>P</w:t>
      </w:r>
      <w:r w:rsidR="00B45F57" w:rsidRPr="00B24C47">
        <w:rPr>
          <w:lang w:eastAsia="ja-JP"/>
        </w:rPr>
        <w:t xml:space="preserve">lanning function, and </w:t>
      </w:r>
      <w:r w:rsidR="00B24C47">
        <w:rPr>
          <w:lang w:eastAsia="ja-JP"/>
        </w:rPr>
        <w:t>F</w:t>
      </w:r>
      <w:r w:rsidR="00B45F57" w:rsidRPr="00B24C47">
        <w:rPr>
          <w:lang w:eastAsia="ja-JP"/>
        </w:rPr>
        <w:t xml:space="preserve">inance may operate within </w:t>
      </w:r>
      <w:r w:rsidR="00B24C47">
        <w:rPr>
          <w:lang w:eastAsia="ja-JP"/>
        </w:rPr>
        <w:t>L</w:t>
      </w:r>
      <w:r w:rsidR="00B45F57" w:rsidRPr="00B24C47">
        <w:rPr>
          <w:lang w:eastAsia="ja-JP"/>
        </w:rPr>
        <w:t>ogistics.</w:t>
      </w:r>
    </w:p>
    <w:p w14:paraId="1BF72DCB" w14:textId="113A2EA7" w:rsidR="00B45F57" w:rsidRDefault="00B45F57" w:rsidP="00B45F57">
      <w:pPr>
        <w:pStyle w:val="Heading3"/>
        <w:numPr>
          <w:ilvl w:val="0"/>
          <w:numId w:val="0"/>
        </w:numPr>
        <w:ind w:left="964" w:hanging="964"/>
        <w:rPr>
          <w:lang w:eastAsia="ja-JP"/>
        </w:rPr>
      </w:pPr>
      <w:bookmarkStart w:id="15" w:name="_Toc230893537"/>
      <w:r>
        <w:rPr>
          <w:lang w:eastAsia="ja-JP"/>
        </w:rPr>
        <w:t>National response arrangements</w:t>
      </w:r>
      <w:bookmarkEnd w:id="15"/>
    </w:p>
    <w:p w14:paraId="4633DD43" w14:textId="77777777" w:rsidR="005C121B" w:rsidRDefault="00B45F57" w:rsidP="00B45F57">
      <w:pPr>
        <w:pStyle w:val="Heading4"/>
        <w:numPr>
          <w:ilvl w:val="0"/>
          <w:numId w:val="0"/>
        </w:numPr>
        <w:ind w:left="964" w:hanging="964"/>
        <w:rPr>
          <w:lang w:eastAsia="ja-JP"/>
        </w:rPr>
      </w:pPr>
      <w:r>
        <w:rPr>
          <w:lang w:eastAsia="ja-JP"/>
        </w:rPr>
        <w:t>Australian Government crisis management arrangements</w:t>
      </w:r>
    </w:p>
    <w:p w14:paraId="336F97E3" w14:textId="6CEF506D" w:rsidR="00B45F57" w:rsidRDefault="00B45F57" w:rsidP="00B45F57">
      <w:pPr>
        <w:rPr>
          <w:lang w:eastAsia="ja-JP"/>
        </w:rPr>
      </w:pPr>
      <w:r>
        <w:rPr>
          <w:lang w:eastAsia="ja-JP"/>
        </w:rPr>
        <w:t xml:space="preserve">During a crisis the Department of Agriculture, Fisheries and Forestry </w:t>
      </w:r>
      <w:r w:rsidRPr="00F56AD8">
        <w:rPr>
          <w:lang w:eastAsia="ja-JP"/>
        </w:rPr>
        <w:t>(DAFF)</w:t>
      </w:r>
      <w:r>
        <w:rPr>
          <w:lang w:eastAsia="ja-JP"/>
        </w:rPr>
        <w:t xml:space="preserve"> works with other </w:t>
      </w:r>
      <w:r w:rsidR="008368DD" w:rsidRPr="007D033E">
        <w:t xml:space="preserve">Australian Government agencies under the </w:t>
      </w:r>
      <w:hyperlink r:id="rId25">
        <w:r w:rsidR="008368DD" w:rsidRPr="79702DDC">
          <w:rPr>
            <w:rStyle w:val="Hyperlink"/>
            <w:lang w:eastAsia="ja-JP"/>
          </w:rPr>
          <w:t>Australian Government Crisis Management Framework (AGCMF)</w:t>
        </w:r>
      </w:hyperlink>
      <w:r w:rsidRPr="79702DDC">
        <w:rPr>
          <w:lang w:eastAsia="ja-JP"/>
        </w:rPr>
        <w:t>.</w:t>
      </w:r>
      <w:r>
        <w:rPr>
          <w:lang w:eastAsia="ja-JP"/>
        </w:rPr>
        <w:t xml:space="preserve"> This policy frames Australia’s national crisis management arrangements and outlines:</w:t>
      </w:r>
    </w:p>
    <w:p w14:paraId="5B22B2EF" w14:textId="5ECC8CDE" w:rsidR="00B45F57" w:rsidRPr="00124195" w:rsidRDefault="00B45F57" w:rsidP="00124195">
      <w:pPr>
        <w:pStyle w:val="ListBullet"/>
      </w:pPr>
      <w:r w:rsidRPr="00124195">
        <w:t>the Australian Government’s approach to preparing for, responding to and recovering from crises</w:t>
      </w:r>
    </w:p>
    <w:p w14:paraId="5D376200" w14:textId="0E1F1314" w:rsidR="00B45F57" w:rsidRPr="00124195" w:rsidRDefault="00B45F57" w:rsidP="00124195">
      <w:pPr>
        <w:pStyle w:val="ListBullet"/>
      </w:pPr>
      <w:r w:rsidRPr="00124195">
        <w:t>roles and responsibilities of Australian Government ministers and senior officials</w:t>
      </w:r>
    </w:p>
    <w:p w14:paraId="30B77869" w14:textId="6845135D" w:rsidR="00B45F57" w:rsidRPr="00124195" w:rsidRDefault="00B45F57" w:rsidP="00124195">
      <w:pPr>
        <w:pStyle w:val="ListBullet"/>
      </w:pPr>
      <w:r w:rsidRPr="00124195">
        <w:t>key Australian Government tools and mechanisms to support coordination during cris</w:t>
      </w:r>
      <w:r w:rsidR="008368DD" w:rsidRPr="00124195">
        <w:t>e</w:t>
      </w:r>
      <w:r w:rsidRPr="00124195">
        <w:t>s.</w:t>
      </w:r>
    </w:p>
    <w:p w14:paraId="5D60549D" w14:textId="0B5B9038" w:rsidR="00B45F57" w:rsidRDefault="00B45F57" w:rsidP="00B45F57">
      <w:pPr>
        <w:rPr>
          <w:lang w:eastAsia="ja-JP"/>
        </w:rPr>
      </w:pPr>
      <w:r w:rsidRPr="79702DDC">
        <w:rPr>
          <w:lang w:eastAsia="ja-JP"/>
        </w:rPr>
        <w:t xml:space="preserve">The </w:t>
      </w:r>
      <w:hyperlink r:id="rId26">
        <w:r w:rsidRPr="79702DDC">
          <w:rPr>
            <w:rStyle w:val="Hyperlink"/>
            <w:lang w:eastAsia="ja-JP"/>
          </w:rPr>
          <w:t>Australian Government Biosecurity and Agricultural Response Plan (AUSBIOAGPLAN)</w:t>
        </w:r>
      </w:hyperlink>
      <w:r w:rsidRPr="79702DDC">
        <w:rPr>
          <w:lang w:eastAsia="ja-JP"/>
        </w:rPr>
        <w:t xml:space="preserve"> describes DAFF’s role as the coordinating agency for biosecurity or agricultural incidents. </w:t>
      </w:r>
      <w:r>
        <w:rPr>
          <w:lang w:eastAsia="ja-JP"/>
        </w:rPr>
        <w:t>DAFF owns the plan and activates it when warranted.</w:t>
      </w:r>
    </w:p>
    <w:p w14:paraId="58580938" w14:textId="29C7D6AD" w:rsidR="00B45F57" w:rsidRDefault="5B92CEDA" w:rsidP="79702DDC">
      <w:pPr>
        <w:rPr>
          <w:lang w:eastAsia="ja-JP"/>
        </w:rPr>
      </w:pPr>
      <w:hyperlink w:anchor="Figure_2" w:history="1">
        <w:r w:rsidRPr="79702DDC">
          <w:rPr>
            <w:rStyle w:val="Hyperlink"/>
            <w:lang w:eastAsia="ja-JP"/>
          </w:rPr>
          <w:t>Figure 2</w:t>
        </w:r>
      </w:hyperlink>
      <w:r w:rsidRPr="79702DDC">
        <w:rPr>
          <w:lang w:eastAsia="ja-JP"/>
        </w:rPr>
        <w:t xml:space="preserve"> shows how DAFF’s Incident Management Team works with other Australian Government agencies during a crisis.</w:t>
      </w:r>
      <w:r>
        <w:t xml:space="preserve"> </w:t>
      </w:r>
    </w:p>
    <w:p w14:paraId="0745B709" w14:textId="7D7A0CCA" w:rsidR="00B45F57" w:rsidRDefault="00B45F57" w:rsidP="00F93897">
      <w:pPr>
        <w:pStyle w:val="Caption"/>
      </w:pPr>
      <w:bookmarkStart w:id="16" w:name="Figure_2"/>
      <w:bookmarkStart w:id="17" w:name="_Toc230893548"/>
      <w:bookmarkEnd w:id="16"/>
      <w:r w:rsidRPr="008368DD">
        <w:t xml:space="preserve">Figure </w:t>
      </w:r>
      <w:r>
        <w:fldChar w:fldCharType="begin"/>
      </w:r>
      <w:r>
        <w:instrText>SEQ Figure \* ARABIC</w:instrText>
      </w:r>
      <w:r>
        <w:fldChar w:fldCharType="separate"/>
      </w:r>
      <w:r w:rsidRPr="008368DD">
        <w:rPr>
          <w:noProof/>
        </w:rPr>
        <w:t>2</w:t>
      </w:r>
      <w:r>
        <w:fldChar w:fldCharType="end"/>
      </w:r>
      <w:r>
        <w:t xml:space="preserve"> </w:t>
      </w:r>
      <w:r w:rsidRPr="007E6AC7">
        <w:t xml:space="preserve">National </w:t>
      </w:r>
      <w:r w:rsidR="008368DD">
        <w:t>c</w:t>
      </w:r>
      <w:r w:rsidRPr="007E6AC7">
        <w:t xml:space="preserve">risis </w:t>
      </w:r>
      <w:r w:rsidR="008368DD">
        <w:t>c</w:t>
      </w:r>
      <w:r w:rsidRPr="007E6AC7">
        <w:t>oordination arrangements</w:t>
      </w:r>
      <w:bookmarkEnd w:id="17"/>
    </w:p>
    <w:p w14:paraId="5AEE3CFA" w14:textId="135EC2CB" w:rsidR="00B45F57" w:rsidRDefault="00B45F57" w:rsidP="00B45F57">
      <w:pPr>
        <w:rPr>
          <w:lang w:eastAsia="ja-JP"/>
        </w:rPr>
      </w:pPr>
      <w:r>
        <w:rPr>
          <w:noProof/>
        </w:rPr>
        <w:drawing>
          <wp:inline distT="0" distB="0" distL="0" distR="0" wp14:anchorId="3563A9DB" wp14:editId="78DE6F45">
            <wp:extent cx="5759450" cy="3818668"/>
            <wp:effectExtent l="12700" t="12700" r="6350" b="17145"/>
            <wp:docPr id="1774209738" name="drawing" descr="Diagram showing how DAFF’s incident management team works with other Australian Government agencies during a crisis. From top to bottom, it comprises:&#10;1. Secretary, Minister&#10;2. Response coordination group, Australian Government mechanisms&#10;3. Incident management team, comprising the following elements:&#10;a) Incident control, National situation room&#10;b) Supporting organisations&#10;c) Safety&#10;d) Planning, Intelligence, Public information, Operations, Investigation, Logistics, Finance&#10;e) Field team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209738" name="drawing" descr="Diagram showing how DAFF’s incident management team works with other Australian Government agencies during a crisis. From top to bottom, it comprises:&#10;1. Secretary, Minister&#10;2. Response coordination group, Australian Government mechanisms&#10;3. Incident management team, comprising the following elements:&#10;a) Incident control, National situation room&#10;b) Supporting organisations&#10;c) Safety&#10;d) Planning, Intelligence, Public information, Operations, Investigation, Logistics, Finance&#10;e) Field teams">
                      <a:extLst>
                        <a:ext uri="{C183D7F6-B498-43B3-948B-1728B52AA6E4}">
                          <adec:decorative xmlns:adec="http://schemas.microsoft.com/office/drawing/2017/decorative" val="0"/>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5759450" cy="3818668"/>
                    </a:xfrm>
                    <a:prstGeom prst="rect">
                      <a:avLst/>
                    </a:prstGeom>
                    <a:ln>
                      <a:solidFill>
                        <a:schemeClr val="tx1"/>
                      </a:solidFill>
                    </a:ln>
                  </pic:spPr>
                </pic:pic>
              </a:graphicData>
            </a:graphic>
          </wp:inline>
        </w:drawing>
      </w:r>
    </w:p>
    <w:p w14:paraId="0A0E16C6" w14:textId="6F1D3F47" w:rsidR="00B45F57" w:rsidRDefault="00B45F57" w:rsidP="00B45F57">
      <w:pPr>
        <w:pStyle w:val="Heading4"/>
        <w:numPr>
          <w:ilvl w:val="0"/>
          <w:numId w:val="0"/>
        </w:numPr>
        <w:ind w:left="964" w:hanging="964"/>
        <w:rPr>
          <w:lang w:eastAsia="ja-JP"/>
        </w:rPr>
      </w:pPr>
      <w:hyperlink w:anchor="Figure_2" w:history="1"/>
      <w:r>
        <w:rPr>
          <w:lang w:eastAsia="ja-JP"/>
        </w:rPr>
        <w:t xml:space="preserve">Crisis </w:t>
      </w:r>
      <w:r w:rsidR="00F254C1">
        <w:rPr>
          <w:lang w:eastAsia="ja-JP"/>
        </w:rPr>
        <w:t>a</w:t>
      </w:r>
      <w:r>
        <w:rPr>
          <w:lang w:eastAsia="ja-JP"/>
        </w:rPr>
        <w:t xml:space="preserve">ppreciation and </w:t>
      </w:r>
      <w:r w:rsidR="00F254C1">
        <w:rPr>
          <w:lang w:eastAsia="ja-JP"/>
        </w:rPr>
        <w:t>s</w:t>
      </w:r>
      <w:r>
        <w:rPr>
          <w:lang w:eastAsia="ja-JP"/>
        </w:rPr>
        <w:t xml:space="preserve">trategic </w:t>
      </w:r>
      <w:r w:rsidR="00F254C1">
        <w:rPr>
          <w:lang w:eastAsia="ja-JP"/>
        </w:rPr>
        <w:t>p</w:t>
      </w:r>
      <w:r>
        <w:rPr>
          <w:lang w:eastAsia="ja-JP"/>
        </w:rPr>
        <w:t>lanning</w:t>
      </w:r>
    </w:p>
    <w:p w14:paraId="181DB898" w14:textId="1CB8AEBC" w:rsidR="00B45F57" w:rsidRDefault="00B45F57" w:rsidP="00B45F57">
      <w:pPr>
        <w:rPr>
          <w:lang w:eastAsia="ja-JP"/>
        </w:rPr>
      </w:pPr>
      <w:r>
        <w:rPr>
          <w:lang w:eastAsia="ja-JP"/>
        </w:rPr>
        <w:t xml:space="preserve">The </w:t>
      </w:r>
      <w:r w:rsidR="00F254C1">
        <w:rPr>
          <w:lang w:eastAsia="ja-JP"/>
        </w:rPr>
        <w:t>c</w:t>
      </w:r>
      <w:r>
        <w:rPr>
          <w:lang w:eastAsia="ja-JP"/>
        </w:rPr>
        <w:t xml:space="preserve">risis </w:t>
      </w:r>
      <w:r w:rsidR="00F254C1">
        <w:rPr>
          <w:lang w:eastAsia="ja-JP"/>
        </w:rPr>
        <w:t>a</w:t>
      </w:r>
      <w:r>
        <w:rPr>
          <w:lang w:eastAsia="ja-JP"/>
        </w:rPr>
        <w:t xml:space="preserve">ppreciation and </w:t>
      </w:r>
      <w:r w:rsidR="00F254C1">
        <w:rPr>
          <w:lang w:eastAsia="ja-JP"/>
        </w:rPr>
        <w:t>s</w:t>
      </w:r>
      <w:r>
        <w:rPr>
          <w:lang w:eastAsia="ja-JP"/>
        </w:rPr>
        <w:t xml:space="preserve">trategic </w:t>
      </w:r>
      <w:r w:rsidR="00F254C1">
        <w:rPr>
          <w:lang w:eastAsia="ja-JP"/>
        </w:rPr>
        <w:t>p</w:t>
      </w:r>
      <w:r>
        <w:rPr>
          <w:lang w:eastAsia="ja-JP"/>
        </w:rPr>
        <w:t>lanning (CASP) methodology is used by governments to prepare</w:t>
      </w:r>
      <w:r w:rsidR="00F254C1">
        <w:rPr>
          <w:lang w:eastAsia="ja-JP"/>
        </w:rPr>
        <w:t xml:space="preserve"> for</w:t>
      </w:r>
      <w:r>
        <w:rPr>
          <w:lang w:eastAsia="ja-JP"/>
        </w:rPr>
        <w:t xml:space="preserve">, respond to and recover from a crisis. The CASP process is a repeatable, strategic-level planning </w:t>
      </w:r>
      <w:r w:rsidR="00286E41">
        <w:rPr>
          <w:lang w:eastAsia="ja-JP"/>
        </w:rPr>
        <w:t>model</w:t>
      </w:r>
      <w:r>
        <w:rPr>
          <w:lang w:eastAsia="ja-JP"/>
        </w:rPr>
        <w:t xml:space="preserve">. It uses a structured </w:t>
      </w:r>
      <w:r w:rsidRPr="00286E41">
        <w:rPr>
          <w:lang w:eastAsia="ja-JP"/>
        </w:rPr>
        <w:t>method</w:t>
      </w:r>
      <w:r>
        <w:rPr>
          <w:lang w:eastAsia="ja-JP"/>
        </w:rPr>
        <w:t xml:space="preserve"> to integrate and analyse information from multiple sources. It helps by:</w:t>
      </w:r>
    </w:p>
    <w:p w14:paraId="473F697A" w14:textId="16001A41" w:rsidR="00B45F57" w:rsidRPr="00124195" w:rsidRDefault="00B45F57" w:rsidP="00124195">
      <w:pPr>
        <w:pStyle w:val="ListBullet"/>
      </w:pPr>
      <w:r w:rsidRPr="00124195">
        <w:t>building situational awareness</w:t>
      </w:r>
    </w:p>
    <w:p w14:paraId="24772B60" w14:textId="77777777" w:rsidR="005C121B" w:rsidRPr="00124195" w:rsidRDefault="00B45F57" w:rsidP="00124195">
      <w:pPr>
        <w:pStyle w:val="ListBullet"/>
      </w:pPr>
      <w:r w:rsidRPr="00124195">
        <w:t>interpreting complex situations</w:t>
      </w:r>
    </w:p>
    <w:p w14:paraId="2A781BB1" w14:textId="74141F36" w:rsidR="00B45F57" w:rsidRPr="00124195" w:rsidRDefault="00B45F57" w:rsidP="00124195">
      <w:pPr>
        <w:pStyle w:val="ListBullet"/>
      </w:pPr>
      <w:r w:rsidRPr="00124195">
        <w:t>undertaking operational strategic foresight and planning</w:t>
      </w:r>
    </w:p>
    <w:p w14:paraId="5CCB2326" w14:textId="584BC961" w:rsidR="00B45F57" w:rsidRPr="00124195" w:rsidRDefault="00B45F57" w:rsidP="00124195">
      <w:pPr>
        <w:pStyle w:val="ListBullet"/>
      </w:pPr>
      <w:r w:rsidRPr="00124195">
        <w:t>developing a shared understanding of incident priorities and efforts.</w:t>
      </w:r>
    </w:p>
    <w:p w14:paraId="2703F5A3" w14:textId="25C25E7D" w:rsidR="00B45F57" w:rsidRDefault="00B45F57" w:rsidP="00F254C1">
      <w:pPr>
        <w:rPr>
          <w:lang w:eastAsia="ja-JP"/>
        </w:rPr>
      </w:pPr>
      <w:r>
        <w:rPr>
          <w:lang w:eastAsia="ja-JP"/>
        </w:rPr>
        <w:t>The Public Information function should always be part of any CASP process.</w:t>
      </w:r>
    </w:p>
    <w:p w14:paraId="02990140" w14:textId="50B92955" w:rsidR="00B45F57" w:rsidRDefault="00B45F57" w:rsidP="00B45F57">
      <w:pPr>
        <w:rPr>
          <w:lang w:eastAsia="ja-JP"/>
        </w:rPr>
      </w:pPr>
      <w:r>
        <w:rPr>
          <w:lang w:eastAsia="ja-JP"/>
        </w:rPr>
        <w:t xml:space="preserve">More information about CASP is on the </w:t>
      </w:r>
      <w:hyperlink r:id="rId28" w:history="1">
        <w:r w:rsidRPr="00B45F57">
          <w:rPr>
            <w:rStyle w:val="Hyperlink"/>
            <w:lang w:eastAsia="ja-JP"/>
          </w:rPr>
          <w:t>National Emergency Management Agency (NEMA) website</w:t>
        </w:r>
      </w:hyperlink>
      <w:r>
        <w:rPr>
          <w:lang w:eastAsia="ja-JP"/>
        </w:rPr>
        <w:t>.</w:t>
      </w:r>
    </w:p>
    <w:p w14:paraId="7EA6AD0E" w14:textId="0386E214" w:rsidR="00B45F57" w:rsidRDefault="00B45F57" w:rsidP="00B45F57">
      <w:pPr>
        <w:pStyle w:val="Heading3"/>
        <w:numPr>
          <w:ilvl w:val="0"/>
          <w:numId w:val="0"/>
        </w:numPr>
        <w:ind w:left="964" w:hanging="964"/>
        <w:rPr>
          <w:lang w:eastAsia="ja-JP"/>
        </w:rPr>
      </w:pPr>
      <w:bookmarkStart w:id="18" w:name="_Toc230893538"/>
      <w:r>
        <w:rPr>
          <w:lang w:eastAsia="ja-JP"/>
        </w:rPr>
        <w:t>Biosecurity incident response arrangements</w:t>
      </w:r>
      <w:bookmarkEnd w:id="18"/>
    </w:p>
    <w:p w14:paraId="2E4DC3C9" w14:textId="2555D205" w:rsidR="005C121B" w:rsidRDefault="00B45F57" w:rsidP="00B45F57">
      <w:pPr>
        <w:rPr>
          <w:lang w:eastAsia="ja-JP"/>
        </w:rPr>
      </w:pPr>
      <w:r>
        <w:rPr>
          <w:lang w:eastAsia="ja-JP"/>
        </w:rPr>
        <w:t xml:space="preserve">Biosecurity responses in Australia are supported by a range of state, territory and Australian Government legislation, as well as several legally binding </w:t>
      </w:r>
      <w:hyperlink w:anchor="_Response_cost-sharing" w:history="1">
        <w:r w:rsidRPr="00C47FBF">
          <w:rPr>
            <w:rStyle w:val="Hyperlink"/>
            <w:lang w:eastAsia="ja-JP"/>
          </w:rPr>
          <w:t>emergency response agreements</w:t>
        </w:r>
      </w:hyperlink>
      <w:r>
        <w:rPr>
          <w:lang w:eastAsia="ja-JP"/>
        </w:rPr>
        <w:t xml:space="preserve">. All impose certain obligations and provide powers to enable certain response actions. The frameworks </w:t>
      </w:r>
      <w:r>
        <w:rPr>
          <w:lang w:eastAsia="ja-JP"/>
        </w:rPr>
        <w:lastRenderedPageBreak/>
        <w:t>that apply vary with the nature of the incident, including the type of pest or disease, where it is found, and the parties most affected.</w:t>
      </w:r>
    </w:p>
    <w:p w14:paraId="1A65AAB1" w14:textId="77777777" w:rsidR="005C121B" w:rsidRDefault="00B45F57" w:rsidP="00B45F57">
      <w:pPr>
        <w:rPr>
          <w:lang w:eastAsia="ja-JP"/>
        </w:rPr>
      </w:pPr>
      <w:r>
        <w:rPr>
          <w:lang w:eastAsia="ja-JP"/>
        </w:rPr>
        <w:t xml:space="preserve">State and territory governments have biosecurity legislation that allows actions to mitigate biosecurity risks. Australian Government legislation, including powers under the </w:t>
      </w:r>
      <w:r w:rsidRPr="00B24C47">
        <w:rPr>
          <w:i/>
          <w:iCs/>
          <w:lang w:eastAsia="ja-JP"/>
        </w:rPr>
        <w:t>Biosecurity Act 2015</w:t>
      </w:r>
      <w:r>
        <w:rPr>
          <w:lang w:eastAsia="ja-JP"/>
        </w:rPr>
        <w:t>, is available to support the states and territories (and some external territories) where appropriate.</w:t>
      </w:r>
    </w:p>
    <w:p w14:paraId="6FD29C70" w14:textId="6866BFD6" w:rsidR="00B45F57" w:rsidRDefault="00B45F57" w:rsidP="00B45F57">
      <w:pPr>
        <w:rPr>
          <w:lang w:eastAsia="ja-JP"/>
        </w:rPr>
      </w:pPr>
      <w:r>
        <w:rPr>
          <w:lang w:eastAsia="ja-JP"/>
        </w:rPr>
        <w:t>The state and territory governments are responsible for the on-ground response activities in their jurisdiction</w:t>
      </w:r>
      <w:r w:rsidR="00D45316">
        <w:rPr>
          <w:lang w:eastAsia="ja-JP"/>
        </w:rPr>
        <w:t xml:space="preserve"> –</w:t>
      </w:r>
      <w:r>
        <w:rPr>
          <w:lang w:eastAsia="ja-JP"/>
        </w:rPr>
        <w:t xml:space="preserve"> for example</w:t>
      </w:r>
      <w:r w:rsidR="00D45316">
        <w:rPr>
          <w:lang w:eastAsia="ja-JP"/>
        </w:rPr>
        <w:t>,</w:t>
      </w:r>
      <w:r>
        <w:rPr>
          <w:lang w:eastAsia="ja-JP"/>
        </w:rPr>
        <w:t xml:space="preserve"> destruction and disposal, movement controls, tracing and testing.</w:t>
      </w:r>
    </w:p>
    <w:p w14:paraId="7DC859C3" w14:textId="02806CC0" w:rsidR="00B45F57" w:rsidRDefault="00B45F57" w:rsidP="00B45F57">
      <w:pPr>
        <w:rPr>
          <w:lang w:eastAsia="ja-JP"/>
        </w:rPr>
      </w:pPr>
      <w:r>
        <w:rPr>
          <w:lang w:eastAsia="ja-JP"/>
        </w:rPr>
        <w:t>Irrespective of the incident level and combat jurisdiction(s)</w:t>
      </w:r>
      <w:r w:rsidR="00EF7FBD">
        <w:rPr>
          <w:lang w:eastAsia="ja-JP"/>
        </w:rPr>
        <w:t xml:space="preserve"> (the state</w:t>
      </w:r>
      <w:r w:rsidR="004C2CD8">
        <w:rPr>
          <w:lang w:eastAsia="ja-JP"/>
        </w:rPr>
        <w:t>(s)</w:t>
      </w:r>
      <w:r w:rsidR="008F6841">
        <w:rPr>
          <w:lang w:eastAsia="ja-JP"/>
        </w:rPr>
        <w:t>/</w:t>
      </w:r>
      <w:r w:rsidR="00EF7FBD">
        <w:rPr>
          <w:lang w:eastAsia="ja-JP"/>
        </w:rPr>
        <w:t>territory</w:t>
      </w:r>
      <w:r w:rsidR="004C2CD8">
        <w:rPr>
          <w:lang w:eastAsia="ja-JP"/>
        </w:rPr>
        <w:t>(</w:t>
      </w:r>
      <w:proofErr w:type="spellStart"/>
      <w:r w:rsidR="004C2CD8">
        <w:rPr>
          <w:lang w:eastAsia="ja-JP"/>
        </w:rPr>
        <w:t>ies</w:t>
      </w:r>
      <w:proofErr w:type="spellEnd"/>
      <w:r w:rsidR="004C2CD8">
        <w:rPr>
          <w:lang w:eastAsia="ja-JP"/>
        </w:rPr>
        <w:t>)</w:t>
      </w:r>
      <w:r w:rsidR="00EF7FBD">
        <w:rPr>
          <w:lang w:eastAsia="ja-JP"/>
        </w:rPr>
        <w:t xml:space="preserve"> leading the response)</w:t>
      </w:r>
      <w:r>
        <w:rPr>
          <w:lang w:eastAsia="ja-JP"/>
        </w:rPr>
        <w:t xml:space="preserve">, </w:t>
      </w:r>
      <w:r w:rsidRPr="00AC7B20">
        <w:rPr>
          <w:lang w:eastAsia="ja-JP"/>
        </w:rPr>
        <w:t>DAFF</w:t>
      </w:r>
      <w:r>
        <w:rPr>
          <w:lang w:eastAsia="ja-JP"/>
        </w:rPr>
        <w:t xml:space="preserve"> is responsible for dealing with national issues such as biosecurity risks at the Australian border (incoming passengers, mail and cargo) and international trade issues (imports and exports to and from Australia </w:t>
      </w:r>
      <w:r w:rsidR="000C29ED">
        <w:rPr>
          <w:lang w:eastAsia="ja-JP"/>
        </w:rPr>
        <w:t xml:space="preserve">of </w:t>
      </w:r>
      <w:r>
        <w:rPr>
          <w:lang w:eastAsia="ja-JP"/>
        </w:rPr>
        <w:t>live animals and agricultural</w:t>
      </w:r>
      <w:r w:rsidR="001308D8">
        <w:rPr>
          <w:lang w:eastAsia="ja-JP"/>
        </w:rPr>
        <w:t xml:space="preserve"> </w:t>
      </w:r>
      <w:r>
        <w:rPr>
          <w:lang w:eastAsia="ja-JP"/>
        </w:rPr>
        <w:t>products).</w:t>
      </w:r>
    </w:p>
    <w:p w14:paraId="0A288F65" w14:textId="77777777" w:rsidR="00B45F57" w:rsidRDefault="00B45F57" w:rsidP="006569DA">
      <w:pPr>
        <w:pStyle w:val="Heading4"/>
        <w:numPr>
          <w:ilvl w:val="0"/>
          <w:numId w:val="0"/>
        </w:numPr>
        <w:ind w:left="964" w:hanging="964"/>
        <w:rPr>
          <w:lang w:eastAsia="ja-JP"/>
        </w:rPr>
      </w:pPr>
      <w:r>
        <w:rPr>
          <w:lang w:eastAsia="ja-JP"/>
        </w:rPr>
        <w:t>Classification of biosecurity incidents</w:t>
      </w:r>
    </w:p>
    <w:p w14:paraId="5111CB6A" w14:textId="77777777" w:rsidR="00B45F57" w:rsidRDefault="00B45F57" w:rsidP="00B45F57">
      <w:pPr>
        <w:rPr>
          <w:lang w:eastAsia="ja-JP"/>
        </w:rPr>
      </w:pPr>
      <w:r>
        <w:rPr>
          <w:lang w:eastAsia="ja-JP"/>
        </w:rPr>
        <w:t>Biosecurity incidents are assigned an appropriate level of coordination, resources and support:</w:t>
      </w:r>
    </w:p>
    <w:p w14:paraId="32B5846A" w14:textId="490B2A42" w:rsidR="00B45F57" w:rsidRPr="00EF7FBD" w:rsidRDefault="00B45F57" w:rsidP="00EF7FBD">
      <w:pPr>
        <w:pStyle w:val="ListBullet"/>
      </w:pPr>
      <w:r w:rsidRPr="00EF7FBD">
        <w:t>Level 1</w:t>
      </w:r>
      <w:r w:rsidR="00246FB8" w:rsidRPr="00EF7FBD">
        <w:t xml:space="preserve"> – </w:t>
      </w:r>
      <w:r w:rsidRPr="00EF7FBD">
        <w:t>local response managed by local resources, with little or no external support</w:t>
      </w:r>
    </w:p>
    <w:p w14:paraId="78A5A75A" w14:textId="3F5CD0F2" w:rsidR="00B45F57" w:rsidRPr="00EF7FBD" w:rsidRDefault="00B45F57" w:rsidP="00EF7FBD">
      <w:pPr>
        <w:pStyle w:val="ListBullet"/>
      </w:pPr>
      <w:r w:rsidRPr="00EF7FBD">
        <w:t>Level 2</w:t>
      </w:r>
      <w:r w:rsidR="00246FB8" w:rsidRPr="00EF7FBD">
        <w:t xml:space="preserve"> – </w:t>
      </w:r>
      <w:r w:rsidRPr="00EF7FBD">
        <w:t>local or regional response, with some support coordinated by a state or territory agency</w:t>
      </w:r>
    </w:p>
    <w:p w14:paraId="06122787" w14:textId="39577276" w:rsidR="00B45F57" w:rsidRPr="00EF7FBD" w:rsidRDefault="00B45F57" w:rsidP="00EF7FBD">
      <w:pPr>
        <w:pStyle w:val="ListBullet"/>
      </w:pPr>
      <w:r w:rsidRPr="00EF7FBD">
        <w:t>Level 3</w:t>
      </w:r>
      <w:r w:rsidR="00246FB8" w:rsidRPr="00EF7FBD">
        <w:t xml:space="preserve"> – </w:t>
      </w:r>
      <w:r w:rsidRPr="00EF7FBD">
        <w:t>state/territory-wide response with a fully operational State Coordination Centre and Local Control Centre(s) and possibly assistance from outside the jurisdiction</w:t>
      </w:r>
    </w:p>
    <w:p w14:paraId="018314E1" w14:textId="4E4EAA03" w:rsidR="00B45F57" w:rsidRPr="00EF7FBD" w:rsidRDefault="00B45F57" w:rsidP="00EF7FBD">
      <w:pPr>
        <w:pStyle w:val="ListBullet"/>
      </w:pPr>
      <w:r w:rsidRPr="00EF7FBD">
        <w:t>Level 4</w:t>
      </w:r>
      <w:r w:rsidR="00246FB8" w:rsidRPr="00EF7FBD">
        <w:t xml:space="preserve"> – </w:t>
      </w:r>
      <w:r w:rsidR="00D45316" w:rsidRPr="00EF7FBD">
        <w:t xml:space="preserve">response involving management by </w:t>
      </w:r>
      <w:r w:rsidRPr="00EF7FBD">
        <w:t xml:space="preserve">one or more jurisdictions and a </w:t>
      </w:r>
      <w:r w:rsidR="00B24C47" w:rsidRPr="00EF7FBD">
        <w:t>N</w:t>
      </w:r>
      <w:r w:rsidRPr="00EF7FBD">
        <w:t xml:space="preserve">ational </w:t>
      </w:r>
      <w:r w:rsidR="00B24C47" w:rsidRPr="00EF7FBD">
        <w:t>C</w:t>
      </w:r>
      <w:r w:rsidRPr="00EF7FBD">
        <w:t xml:space="preserve">oordination </w:t>
      </w:r>
      <w:r w:rsidR="00B24C47" w:rsidRPr="00EF7FBD">
        <w:t>C</w:t>
      </w:r>
      <w:r w:rsidRPr="00EF7FBD">
        <w:t>entre established to coordinate nationally available resources</w:t>
      </w:r>
    </w:p>
    <w:p w14:paraId="1CC49D02" w14:textId="536CE0EC" w:rsidR="00B45F57" w:rsidRPr="00EF7FBD" w:rsidRDefault="00B45F57" w:rsidP="00EF7FBD">
      <w:pPr>
        <w:pStyle w:val="ListBullet"/>
      </w:pPr>
      <w:r w:rsidRPr="00EF7FBD">
        <w:t>Level 5</w:t>
      </w:r>
      <w:r w:rsidR="00246FB8" w:rsidRPr="00EF7FBD">
        <w:t xml:space="preserve"> – </w:t>
      </w:r>
      <w:r w:rsidR="005C121B" w:rsidRPr="00EF7FBD">
        <w:t xml:space="preserve">response involving management by </w:t>
      </w:r>
      <w:r w:rsidRPr="00EF7FBD">
        <w:t>one or more jurisdictions and a National Coordination Centre established to coordinate national and international resources.</w:t>
      </w:r>
    </w:p>
    <w:p w14:paraId="798CAECE" w14:textId="4FBC58CD" w:rsidR="007667DF" w:rsidRPr="00967536" w:rsidRDefault="007667DF" w:rsidP="00967536">
      <w:r w:rsidRPr="00967536">
        <w:t>When a biosecurity incident occurs, an Incident Controller is appointed and establishes the relevant team of a size capable of managing the incident. Under</w:t>
      </w:r>
      <w:r w:rsidR="00967536" w:rsidRPr="00967536">
        <w:t xml:space="preserve"> the Australian Veterinary Emergency Plan</w:t>
      </w:r>
      <w:r w:rsidRPr="00967536">
        <w:t xml:space="preserve"> </w:t>
      </w:r>
      <w:r w:rsidR="00967536" w:rsidRPr="00967536">
        <w:t>(</w:t>
      </w:r>
      <w:r w:rsidRPr="00967536">
        <w:t>AUSVETPLAN</w:t>
      </w:r>
      <w:r w:rsidR="00967536" w:rsidRPr="00967536">
        <w:t>)</w:t>
      </w:r>
      <w:r w:rsidRPr="00967536">
        <w:t xml:space="preserve"> and </w:t>
      </w:r>
      <w:r w:rsidR="00967536" w:rsidRPr="00967536">
        <w:t>the Australian Emergency Plant Pest Response Plan (</w:t>
      </w:r>
      <w:r w:rsidRPr="00967536">
        <w:t>PLANTPLAN</w:t>
      </w:r>
      <w:r w:rsidR="00967536" w:rsidRPr="00967536">
        <w:t>)</w:t>
      </w:r>
      <w:r w:rsidRPr="00967536">
        <w:t xml:space="preserve"> arrangements the SCC is led by an Incident Coordinator. Where required, an NCC may also be established, with its own Incident Coordinator, to support inter-agency or cross-jurisdictional coordination. The distinction between ‘Controller’ and ‘Coordinator’ reflects nationally agreed biosecurity response arrangements in which Local Control Centres exercise operational control, while State Coordination Centres perform strategic coordination functions. Some incidents may combine state and local operations in one centre, and some jurisdictions may retain orthodox AIIMS terminology and use </w:t>
      </w:r>
      <w:r w:rsidR="00B100DE">
        <w:t xml:space="preserve">the terms </w:t>
      </w:r>
      <w:r w:rsidRPr="00967536">
        <w:t>State Control Centre and State Incident Controller.</w:t>
      </w:r>
    </w:p>
    <w:p w14:paraId="3DC82215" w14:textId="59529877" w:rsidR="00B45F57" w:rsidRDefault="00B45F57" w:rsidP="00B45F57">
      <w:pPr>
        <w:rPr>
          <w:lang w:eastAsia="ja-JP"/>
        </w:rPr>
      </w:pPr>
      <w:r>
        <w:rPr>
          <w:lang w:eastAsia="ja-JP"/>
        </w:rPr>
        <w:t>People appointed to each section must possess the necessary skills</w:t>
      </w:r>
      <w:r w:rsidR="005C121B">
        <w:rPr>
          <w:lang w:eastAsia="ja-JP"/>
        </w:rPr>
        <w:t xml:space="preserve"> and</w:t>
      </w:r>
      <w:r>
        <w:rPr>
          <w:lang w:eastAsia="ja-JP"/>
        </w:rPr>
        <w:t xml:space="preserve"> knowledge</w:t>
      </w:r>
      <w:r w:rsidR="005C121B">
        <w:rPr>
          <w:lang w:eastAsia="ja-JP"/>
        </w:rPr>
        <w:t>,</w:t>
      </w:r>
      <w:r>
        <w:rPr>
          <w:lang w:eastAsia="ja-JP"/>
        </w:rPr>
        <w:t xml:space="preserve"> and preferably experience, to carry out the duties of the role. Public </w:t>
      </w:r>
      <w:r w:rsidR="00B24C47">
        <w:rPr>
          <w:lang w:eastAsia="ja-JP"/>
        </w:rPr>
        <w:t>I</w:t>
      </w:r>
      <w:r>
        <w:rPr>
          <w:lang w:eastAsia="ja-JP"/>
        </w:rPr>
        <w:t xml:space="preserve">nformation roles are described in more detail </w:t>
      </w:r>
      <w:r w:rsidRPr="00AC7B20">
        <w:rPr>
          <w:lang w:eastAsia="ja-JP"/>
        </w:rPr>
        <w:t xml:space="preserve">in </w:t>
      </w:r>
      <w:r w:rsidR="00AC7B20">
        <w:rPr>
          <w:lang w:eastAsia="ja-JP"/>
        </w:rPr>
        <w:t>BIP</w:t>
      </w:r>
      <w:r w:rsidR="00ED269B">
        <w:rPr>
          <w:lang w:eastAsia="ja-JP"/>
        </w:rPr>
        <w:t>I</w:t>
      </w:r>
      <w:r w:rsidR="00AC7B20">
        <w:rPr>
          <w:lang w:eastAsia="ja-JP"/>
        </w:rPr>
        <w:t xml:space="preserve">M </w:t>
      </w:r>
      <w:r w:rsidRPr="00AC7B20">
        <w:rPr>
          <w:lang w:eastAsia="ja-JP"/>
        </w:rPr>
        <w:t>Part 3</w:t>
      </w:r>
      <w:r>
        <w:rPr>
          <w:lang w:eastAsia="ja-JP"/>
        </w:rPr>
        <w:t>.</w:t>
      </w:r>
    </w:p>
    <w:p w14:paraId="41D04221" w14:textId="44F04423" w:rsidR="00B45F57" w:rsidRDefault="00B45F57" w:rsidP="00B45F57">
      <w:pPr>
        <w:rPr>
          <w:lang w:eastAsia="ja-JP"/>
        </w:rPr>
      </w:pPr>
      <w:r>
        <w:rPr>
          <w:lang w:eastAsia="ja-JP"/>
        </w:rPr>
        <w:t xml:space="preserve">The </w:t>
      </w:r>
      <w:hyperlink r:id="rId29" w:history="1">
        <w:r w:rsidR="005C121B">
          <w:rPr>
            <w:rStyle w:val="Hyperlink"/>
            <w:lang w:eastAsia="ja-JP"/>
          </w:rPr>
          <w:t>AUSVETPLAN control centre management manuals</w:t>
        </w:r>
      </w:hyperlink>
      <w:r>
        <w:rPr>
          <w:lang w:eastAsia="ja-JP"/>
        </w:rPr>
        <w:t xml:space="preserve"> have more detailed information on setting up control and coordination centres for handling emergency animal diseases.</w:t>
      </w:r>
    </w:p>
    <w:p w14:paraId="6D85BA96" w14:textId="77777777" w:rsidR="00B45F57" w:rsidRDefault="00B45F57" w:rsidP="006569DA">
      <w:pPr>
        <w:pStyle w:val="Heading4"/>
        <w:numPr>
          <w:ilvl w:val="0"/>
          <w:numId w:val="0"/>
        </w:numPr>
        <w:ind w:left="964" w:hanging="964"/>
        <w:rPr>
          <w:lang w:eastAsia="ja-JP"/>
        </w:rPr>
      </w:pPr>
      <w:r>
        <w:rPr>
          <w:lang w:eastAsia="ja-JP"/>
        </w:rPr>
        <w:lastRenderedPageBreak/>
        <w:t>Phases of biosecurity incidents</w:t>
      </w:r>
    </w:p>
    <w:p w14:paraId="3E53FB16" w14:textId="185240DA" w:rsidR="00B45F57" w:rsidRDefault="00B45F57" w:rsidP="00B45F57">
      <w:pPr>
        <w:rPr>
          <w:lang w:eastAsia="ja-JP"/>
        </w:rPr>
      </w:pPr>
      <w:r>
        <w:rPr>
          <w:lang w:eastAsia="ja-JP"/>
        </w:rPr>
        <w:t xml:space="preserve">The following are phases of a biosecurity incident. Jurisdictions may choose to stand up their </w:t>
      </w:r>
      <w:r w:rsidR="00B24C47">
        <w:rPr>
          <w:lang w:eastAsia="ja-JP"/>
        </w:rPr>
        <w:t>P</w:t>
      </w:r>
      <w:r>
        <w:rPr>
          <w:lang w:eastAsia="ja-JP"/>
        </w:rPr>
        <w:t xml:space="preserve">ublic </w:t>
      </w:r>
      <w:r w:rsidR="00B24C47">
        <w:rPr>
          <w:lang w:eastAsia="ja-JP"/>
        </w:rPr>
        <w:t>I</w:t>
      </w:r>
      <w:r>
        <w:rPr>
          <w:lang w:eastAsia="ja-JP"/>
        </w:rPr>
        <w:t>nformation function during any phase, based on AIIMS scalability:</w:t>
      </w:r>
    </w:p>
    <w:p w14:paraId="0B5CBA54" w14:textId="248E5323" w:rsidR="00B45F57" w:rsidRPr="00EF7FBD" w:rsidRDefault="00B45F57" w:rsidP="00EF7FBD">
      <w:pPr>
        <w:pStyle w:val="ListBullet"/>
      </w:pPr>
      <w:r w:rsidRPr="00EF7FBD">
        <w:t>investigation and alert</w:t>
      </w:r>
    </w:p>
    <w:p w14:paraId="7F64EB6C" w14:textId="4EB09CCA" w:rsidR="00B45F57" w:rsidRPr="00EF7FBD" w:rsidRDefault="00B45F57" w:rsidP="00EF7FBD">
      <w:pPr>
        <w:pStyle w:val="ListBullet"/>
      </w:pPr>
      <w:r w:rsidRPr="00EF7FBD">
        <w:t>operational</w:t>
      </w:r>
    </w:p>
    <w:p w14:paraId="5DA8964D" w14:textId="73972B31" w:rsidR="00B45F57" w:rsidRPr="00EF7FBD" w:rsidRDefault="00B45F57" w:rsidP="00EF7FBD">
      <w:pPr>
        <w:pStyle w:val="ListBullet"/>
      </w:pPr>
      <w:r w:rsidRPr="00EF7FBD">
        <w:t>stand-down.</w:t>
      </w:r>
    </w:p>
    <w:p w14:paraId="00C68156" w14:textId="48BA7A89" w:rsidR="00B45F57" w:rsidRDefault="00B45F57" w:rsidP="00B45F57">
      <w:pPr>
        <w:rPr>
          <w:lang w:eastAsia="ja-JP"/>
        </w:rPr>
      </w:pPr>
      <w:r>
        <w:rPr>
          <w:lang w:eastAsia="ja-JP"/>
        </w:rPr>
        <w:t xml:space="preserve">The </w:t>
      </w:r>
      <w:r w:rsidR="00B24C47">
        <w:rPr>
          <w:lang w:eastAsia="ja-JP"/>
        </w:rPr>
        <w:t>P</w:t>
      </w:r>
      <w:r>
        <w:rPr>
          <w:lang w:eastAsia="ja-JP"/>
        </w:rPr>
        <w:t xml:space="preserve">ublic </w:t>
      </w:r>
      <w:r w:rsidR="00B24C47">
        <w:rPr>
          <w:lang w:eastAsia="ja-JP"/>
        </w:rPr>
        <w:t>I</w:t>
      </w:r>
      <w:r>
        <w:rPr>
          <w:lang w:eastAsia="ja-JP"/>
        </w:rPr>
        <w:t xml:space="preserve">nformation function will also apply during the recovery phase as the industry and community begin the transition </w:t>
      </w:r>
      <w:r w:rsidR="00F87FC9">
        <w:rPr>
          <w:lang w:eastAsia="ja-JP"/>
        </w:rPr>
        <w:t>to a new normal</w:t>
      </w:r>
      <w:r>
        <w:rPr>
          <w:lang w:eastAsia="ja-JP"/>
        </w:rPr>
        <w:t xml:space="preserve">. Recovery can begin at any stage during the response </w:t>
      </w:r>
      <w:r w:rsidR="002C30E6">
        <w:rPr>
          <w:lang w:eastAsia="ja-JP"/>
        </w:rPr>
        <w:t>– best practice is to commence with the response –</w:t>
      </w:r>
      <w:r>
        <w:rPr>
          <w:lang w:eastAsia="ja-JP"/>
        </w:rPr>
        <w:t xml:space="preserve"> and is likely to continue once response activities have concluded.</w:t>
      </w:r>
    </w:p>
    <w:p w14:paraId="5A5C6914" w14:textId="77777777" w:rsidR="00B45F57" w:rsidRDefault="00B45F57" w:rsidP="006569DA">
      <w:pPr>
        <w:pStyle w:val="Heading4"/>
        <w:numPr>
          <w:ilvl w:val="0"/>
          <w:numId w:val="0"/>
        </w:numPr>
        <w:ind w:left="964" w:hanging="964"/>
        <w:rPr>
          <w:lang w:eastAsia="ja-JP"/>
        </w:rPr>
      </w:pPr>
      <w:bookmarkStart w:id="19" w:name="_Response_cost-sharing"/>
      <w:bookmarkEnd w:id="19"/>
      <w:r>
        <w:rPr>
          <w:lang w:eastAsia="ja-JP"/>
        </w:rPr>
        <w:t>Response cost-sharing</w:t>
      </w:r>
    </w:p>
    <w:p w14:paraId="2637FDE2" w14:textId="77777777" w:rsidR="00B45F57" w:rsidRDefault="00B45F57" w:rsidP="00B45F57">
      <w:pPr>
        <w:rPr>
          <w:lang w:eastAsia="ja-JP"/>
        </w:rPr>
      </w:pPr>
      <w:r>
        <w:rPr>
          <w:lang w:eastAsia="ja-JP"/>
        </w:rPr>
        <w:t>Response deeds and agreements are legal contracts between governments and industry. These documents outline cost-sharing arrangements for the response and will be activated by the relevant national committee.</w:t>
      </w:r>
    </w:p>
    <w:p w14:paraId="6226CB03" w14:textId="77777777" w:rsidR="00EC73F0" w:rsidRDefault="00EC73F0" w:rsidP="00EC73F0">
      <w:pPr>
        <w:rPr>
          <w:lang w:eastAsia="ja-JP"/>
        </w:rPr>
      </w:pPr>
      <w:r>
        <w:rPr>
          <w:lang w:eastAsia="ja-JP"/>
        </w:rPr>
        <w:t>The response deeds and agreements include:</w:t>
      </w:r>
    </w:p>
    <w:p w14:paraId="05472988" w14:textId="77777777" w:rsidR="00EC73F0" w:rsidRPr="00EF7FBD" w:rsidRDefault="00EC73F0" w:rsidP="00EC73F0">
      <w:pPr>
        <w:pStyle w:val="ListBullet"/>
      </w:pPr>
      <w:hyperlink r:id="rId30" w:history="1">
        <w:r w:rsidRPr="00EF7FBD">
          <w:rPr>
            <w:rStyle w:val="Hyperlink"/>
          </w:rPr>
          <w:t>Emergency Plant Pest Response Deed (EPPRD)</w:t>
        </w:r>
      </w:hyperlink>
    </w:p>
    <w:p w14:paraId="1610E80D" w14:textId="77777777" w:rsidR="00EC73F0" w:rsidRPr="00EF7FBD" w:rsidRDefault="00EC73F0" w:rsidP="00EC73F0">
      <w:pPr>
        <w:pStyle w:val="ListBullet"/>
      </w:pPr>
      <w:hyperlink r:id="rId31" w:history="1">
        <w:r w:rsidRPr="00EF7FBD">
          <w:rPr>
            <w:rStyle w:val="Hyperlink"/>
          </w:rPr>
          <w:t>Emergency Animal Disease Response Agreement (EADRA)</w:t>
        </w:r>
      </w:hyperlink>
    </w:p>
    <w:p w14:paraId="21A3038E" w14:textId="77777777" w:rsidR="00EC73F0" w:rsidRPr="00EF7FBD" w:rsidRDefault="00EC73F0" w:rsidP="00EC73F0">
      <w:pPr>
        <w:pStyle w:val="ListBullet"/>
      </w:pPr>
      <w:hyperlink r:id="rId32" w:history="1">
        <w:r w:rsidRPr="00EF7FBD">
          <w:rPr>
            <w:rStyle w:val="Hyperlink"/>
          </w:rPr>
          <w:t>National Environmental Biosecurity Response Agreement (NEBRA)</w:t>
        </w:r>
      </w:hyperlink>
    </w:p>
    <w:p w14:paraId="05CC2758" w14:textId="77777777" w:rsidR="00EC73F0" w:rsidRPr="00EF7FBD" w:rsidRDefault="00EC73F0" w:rsidP="00EC73F0">
      <w:pPr>
        <w:pStyle w:val="ListBullet"/>
      </w:pPr>
      <w:hyperlink r:id="rId33" w:history="1">
        <w:r w:rsidRPr="00EF7FBD">
          <w:rPr>
            <w:rStyle w:val="Hyperlink"/>
          </w:rPr>
          <w:t>National Management Agreement (NMA) – H5 HPAI for Wildlife</w:t>
        </w:r>
      </w:hyperlink>
      <w:r>
        <w:t>.</w:t>
      </w:r>
    </w:p>
    <w:p w14:paraId="6D39E4AA" w14:textId="279A5B68" w:rsidR="005C121B" w:rsidRDefault="00B45F57" w:rsidP="00372FBE">
      <w:pPr>
        <w:rPr>
          <w:lang w:eastAsia="ja-JP"/>
        </w:rPr>
      </w:pPr>
      <w:r>
        <w:rPr>
          <w:lang w:eastAsia="ja-JP"/>
        </w:rPr>
        <w:t xml:space="preserve">Plant Health Australia and Animal Health Australia are custodians of </w:t>
      </w:r>
      <w:r w:rsidR="005C121B">
        <w:rPr>
          <w:lang w:eastAsia="ja-JP"/>
        </w:rPr>
        <w:t xml:space="preserve">the </w:t>
      </w:r>
      <w:r>
        <w:rPr>
          <w:lang w:eastAsia="ja-JP"/>
        </w:rPr>
        <w:t xml:space="preserve">EPPRD and EADRA respectively, and DAFF is custodian of </w:t>
      </w:r>
      <w:r w:rsidR="005A3B1B">
        <w:rPr>
          <w:lang w:eastAsia="ja-JP"/>
        </w:rPr>
        <w:t xml:space="preserve">the </w:t>
      </w:r>
      <w:r>
        <w:rPr>
          <w:lang w:eastAsia="ja-JP"/>
        </w:rPr>
        <w:t>NEBRA</w:t>
      </w:r>
      <w:r w:rsidR="7C3DC28D" w:rsidRPr="04EA1185">
        <w:rPr>
          <w:lang w:eastAsia="ja-JP"/>
        </w:rPr>
        <w:t xml:space="preserve"> and the NMA</w:t>
      </w:r>
      <w:r>
        <w:rPr>
          <w:lang w:eastAsia="ja-JP"/>
        </w:rPr>
        <w:t>.</w:t>
      </w:r>
    </w:p>
    <w:p w14:paraId="4519FD67" w14:textId="34FBB2DC" w:rsidR="00B45F57" w:rsidRDefault="00B45F57" w:rsidP="00B45F57">
      <w:pPr>
        <w:rPr>
          <w:lang w:eastAsia="ja-JP"/>
        </w:rPr>
      </w:pPr>
      <w:r>
        <w:rPr>
          <w:lang w:eastAsia="ja-JP"/>
        </w:rPr>
        <w:t xml:space="preserve">In the initial stages of a response </w:t>
      </w:r>
      <w:r w:rsidR="00CF0CC2">
        <w:rPr>
          <w:lang w:eastAsia="ja-JP"/>
        </w:rPr>
        <w:t xml:space="preserve">that </w:t>
      </w:r>
      <w:r>
        <w:rPr>
          <w:lang w:eastAsia="ja-JP"/>
        </w:rPr>
        <w:t xml:space="preserve">is nationally cost-shared under the EPPRD or EADRA, a state agency or industry group should not release public information in isolation </w:t>
      </w:r>
      <w:r w:rsidR="005C121B">
        <w:rPr>
          <w:lang w:eastAsia="ja-JP"/>
        </w:rPr>
        <w:t>from</w:t>
      </w:r>
      <w:r>
        <w:rPr>
          <w:lang w:eastAsia="ja-JP"/>
        </w:rPr>
        <w:t xml:space="preserve"> other jurisdictions. Public information should be based on a set of national talking points, agreed to by all parties participating in the relevant consultative committee. The national talking points process is described </w:t>
      </w:r>
      <w:r w:rsidRPr="00AC7B20">
        <w:rPr>
          <w:lang w:eastAsia="ja-JP"/>
        </w:rPr>
        <w:t>in</w:t>
      </w:r>
      <w:r w:rsidR="00AC7B20">
        <w:rPr>
          <w:lang w:eastAsia="ja-JP"/>
        </w:rPr>
        <w:t xml:space="preserve"> BIP</w:t>
      </w:r>
      <w:r w:rsidR="006B6E4E">
        <w:rPr>
          <w:lang w:eastAsia="ja-JP"/>
        </w:rPr>
        <w:t>I</w:t>
      </w:r>
      <w:r w:rsidR="00AC7B20">
        <w:rPr>
          <w:lang w:eastAsia="ja-JP"/>
        </w:rPr>
        <w:t>M</w:t>
      </w:r>
      <w:r w:rsidRPr="00AC7B20">
        <w:rPr>
          <w:lang w:eastAsia="ja-JP"/>
        </w:rPr>
        <w:t xml:space="preserve"> Part 2</w:t>
      </w:r>
      <w:r>
        <w:rPr>
          <w:lang w:eastAsia="ja-JP"/>
        </w:rPr>
        <w:t>.</w:t>
      </w:r>
    </w:p>
    <w:p w14:paraId="111B27EC" w14:textId="4F768757" w:rsidR="00B45F57" w:rsidRDefault="00B45F57" w:rsidP="00B45F57">
      <w:pPr>
        <w:rPr>
          <w:lang w:eastAsia="ja-JP"/>
        </w:rPr>
      </w:pPr>
      <w:r>
        <w:rPr>
          <w:lang w:eastAsia="ja-JP"/>
        </w:rPr>
        <w:t>If the pest or disease cannot be eradicated, the response may transition to management (T2M)</w:t>
      </w:r>
      <w:r w:rsidR="00DB21A2">
        <w:rPr>
          <w:lang w:eastAsia="ja-JP"/>
        </w:rPr>
        <w:t>.</w:t>
      </w:r>
      <w:r w:rsidR="007C1564">
        <w:rPr>
          <w:lang w:eastAsia="ja-JP"/>
        </w:rPr>
        <w:t xml:space="preserve"> </w:t>
      </w:r>
      <w:r>
        <w:rPr>
          <w:lang w:eastAsia="ja-JP"/>
        </w:rPr>
        <w:t>T2M may be phased under the provisions of the EPPRD, EADRA or NEBRA.</w:t>
      </w:r>
    </w:p>
    <w:p w14:paraId="119A0A38" w14:textId="0AAFDE8E" w:rsidR="007E3940" w:rsidRDefault="4E84A58A" w:rsidP="007E3940">
      <w:pPr>
        <w:rPr>
          <w:lang w:eastAsia="ja-JP"/>
        </w:rPr>
      </w:pPr>
      <w:r>
        <w:rPr>
          <w:lang w:eastAsia="ja-JP"/>
        </w:rPr>
        <w:t xml:space="preserve">The </w:t>
      </w:r>
      <w:r w:rsidRPr="00993423">
        <w:rPr>
          <w:lang w:eastAsia="ja-JP"/>
        </w:rPr>
        <w:t>NMA</w:t>
      </w:r>
      <w:r w:rsidR="00B45F57">
        <w:rPr>
          <w:lang w:eastAsia="ja-JP"/>
        </w:rPr>
        <w:t xml:space="preserve"> is the nationally agreed arrangement for responding to H5 high pathogenicity avian influenza (H5 bird flu) in wildlife, </w:t>
      </w:r>
      <w:r w:rsidR="001E6521" w:rsidRPr="04EA1185">
        <w:rPr>
          <w:lang w:eastAsia="ja-JP"/>
        </w:rPr>
        <w:t xml:space="preserve">as </w:t>
      </w:r>
      <w:r w:rsidR="00B45F57">
        <w:rPr>
          <w:lang w:eastAsia="ja-JP"/>
        </w:rPr>
        <w:t>eradication or containment of the disease is unlikely.</w:t>
      </w:r>
    </w:p>
    <w:p w14:paraId="2F92A7C9" w14:textId="0951E66F" w:rsidR="00B45F57" w:rsidRDefault="00B45F57" w:rsidP="007E3940">
      <w:pPr>
        <w:pStyle w:val="Heading4"/>
        <w:numPr>
          <w:ilvl w:val="0"/>
          <w:numId w:val="0"/>
        </w:numPr>
        <w:ind w:left="964" w:hanging="964"/>
        <w:rPr>
          <w:lang w:eastAsia="ja-JP"/>
        </w:rPr>
      </w:pPr>
      <w:r>
        <w:rPr>
          <w:lang w:eastAsia="ja-JP"/>
        </w:rPr>
        <w:t>C</w:t>
      </w:r>
      <w:r w:rsidR="00993A96">
        <w:rPr>
          <w:lang w:eastAsia="ja-JP"/>
        </w:rPr>
        <w:t>onsultative c</w:t>
      </w:r>
      <w:r>
        <w:rPr>
          <w:lang w:eastAsia="ja-JP"/>
        </w:rPr>
        <w:t>ommittees</w:t>
      </w:r>
    </w:p>
    <w:p w14:paraId="0F4CCBAA" w14:textId="34A9F160" w:rsidR="00B45F57" w:rsidRDefault="00B45F57" w:rsidP="00B45F57">
      <w:pPr>
        <w:rPr>
          <w:lang w:eastAsia="ja-JP"/>
        </w:rPr>
      </w:pPr>
      <w:r>
        <w:rPr>
          <w:lang w:eastAsia="ja-JP"/>
        </w:rPr>
        <w:t>Consultative committees operate in accordance with the relevant agreement (EPPRD, EADRA or NEBRA). The parties involved are the Australian Government, all state and territory governments</w:t>
      </w:r>
      <w:r w:rsidR="000C29ED">
        <w:rPr>
          <w:lang w:eastAsia="ja-JP"/>
        </w:rPr>
        <w:t>,</w:t>
      </w:r>
      <w:r>
        <w:rPr>
          <w:lang w:eastAsia="ja-JP"/>
        </w:rPr>
        <w:t xml:space="preserve"> and affected industry groups </w:t>
      </w:r>
      <w:r w:rsidR="00AC7B20">
        <w:rPr>
          <w:lang w:eastAsia="ja-JP"/>
        </w:rPr>
        <w:t xml:space="preserve">that </w:t>
      </w:r>
      <w:r>
        <w:rPr>
          <w:lang w:eastAsia="ja-JP"/>
        </w:rPr>
        <w:t>are signatories to the E</w:t>
      </w:r>
      <w:r w:rsidR="000C29ED">
        <w:rPr>
          <w:lang w:eastAsia="ja-JP"/>
        </w:rPr>
        <w:t>P</w:t>
      </w:r>
      <w:r>
        <w:rPr>
          <w:lang w:eastAsia="ja-JP"/>
        </w:rPr>
        <w:t xml:space="preserve">PRD or EADRA. They are chaired by Australia’s </w:t>
      </w:r>
      <w:r w:rsidR="005A3B1B">
        <w:rPr>
          <w:lang w:eastAsia="ja-JP"/>
        </w:rPr>
        <w:t>c</w:t>
      </w:r>
      <w:r>
        <w:rPr>
          <w:lang w:eastAsia="ja-JP"/>
        </w:rPr>
        <w:t>hief veterinary, plant or environmental biosecurity officer.</w:t>
      </w:r>
    </w:p>
    <w:p w14:paraId="102DE305" w14:textId="77777777" w:rsidR="00B45F57" w:rsidRDefault="00B45F57" w:rsidP="00B45F57">
      <w:pPr>
        <w:rPr>
          <w:lang w:eastAsia="ja-JP"/>
        </w:rPr>
      </w:pPr>
      <w:r>
        <w:rPr>
          <w:lang w:eastAsia="ja-JP"/>
        </w:rPr>
        <w:lastRenderedPageBreak/>
        <w:t>For each sector response, the committee will be either the:</w:t>
      </w:r>
    </w:p>
    <w:p w14:paraId="4B6AFB60" w14:textId="769DCC1C" w:rsidR="00B45F57" w:rsidRPr="00EF7FBD" w:rsidRDefault="00B45F57" w:rsidP="00EF7FBD">
      <w:pPr>
        <w:pStyle w:val="ListBullet"/>
      </w:pPr>
      <w:r w:rsidRPr="00EF7FBD">
        <w:t>Consultative Committee on Emergency Plant Pests</w:t>
      </w:r>
    </w:p>
    <w:p w14:paraId="56962AF9" w14:textId="7902F3F8" w:rsidR="005C121B" w:rsidRPr="00EF7FBD" w:rsidRDefault="00B45F57" w:rsidP="00EF7FBD">
      <w:pPr>
        <w:pStyle w:val="ListBullet"/>
      </w:pPr>
      <w:r w:rsidRPr="00EF7FBD">
        <w:t>Consultative Committee on Emergency Animal Disease</w:t>
      </w:r>
      <w:r w:rsidR="007C1564">
        <w:t>s</w:t>
      </w:r>
    </w:p>
    <w:p w14:paraId="776B2FD4" w14:textId="016BE9BB" w:rsidR="00B45F57" w:rsidRPr="00EF7FBD" w:rsidRDefault="00B45F57" w:rsidP="00EF7FBD">
      <w:pPr>
        <w:pStyle w:val="ListBullet"/>
      </w:pPr>
      <w:r w:rsidRPr="00EF7FBD">
        <w:t>Aquatic Consultative Committee on Emergency Animal Disease</w:t>
      </w:r>
      <w:r w:rsidR="008F7BD2">
        <w:t>s</w:t>
      </w:r>
    </w:p>
    <w:p w14:paraId="6616D54B" w14:textId="01E40A17" w:rsidR="00B45F57" w:rsidRPr="00EF7FBD" w:rsidRDefault="00B45F57" w:rsidP="00EF7FBD">
      <w:pPr>
        <w:pStyle w:val="ListBullet"/>
      </w:pPr>
      <w:r w:rsidRPr="00EF7FBD">
        <w:t>Consultative Committee on Introduced Marine Pest Emergencies</w:t>
      </w:r>
    </w:p>
    <w:p w14:paraId="15019310" w14:textId="2C382AAA" w:rsidR="00B45F57" w:rsidRPr="00EF7FBD" w:rsidRDefault="00B45F57" w:rsidP="00EF7FBD">
      <w:pPr>
        <w:pStyle w:val="ListBullet"/>
      </w:pPr>
      <w:r w:rsidRPr="00EF7FBD">
        <w:t>National Biosecurity Management Consultative Committee.</w:t>
      </w:r>
    </w:p>
    <w:p w14:paraId="7873871B" w14:textId="77777777" w:rsidR="00B45F57" w:rsidRPr="00EF7FBD" w:rsidRDefault="00B45F57" w:rsidP="008F7BD2">
      <w:r w:rsidRPr="00EF7FBD">
        <w:t>The secretariats for these committees sit within DAFF.</w:t>
      </w:r>
    </w:p>
    <w:p w14:paraId="0312FCCA" w14:textId="77777777" w:rsidR="00B45F57" w:rsidRDefault="00B45F57" w:rsidP="006569DA">
      <w:pPr>
        <w:pStyle w:val="Heading4"/>
        <w:numPr>
          <w:ilvl w:val="0"/>
          <w:numId w:val="0"/>
        </w:numPr>
        <w:ind w:left="964" w:hanging="964"/>
        <w:rPr>
          <w:lang w:eastAsia="ja-JP"/>
        </w:rPr>
      </w:pPr>
      <w:r>
        <w:rPr>
          <w:lang w:eastAsia="ja-JP"/>
        </w:rPr>
        <w:t>National management groups</w:t>
      </w:r>
    </w:p>
    <w:p w14:paraId="1CC1596E" w14:textId="4D37B17F" w:rsidR="005C121B" w:rsidRDefault="00B45F57" w:rsidP="00B45F57">
      <w:pPr>
        <w:rPr>
          <w:lang w:eastAsia="ja-JP"/>
        </w:rPr>
      </w:pPr>
      <w:r>
        <w:rPr>
          <w:lang w:eastAsia="ja-JP"/>
        </w:rPr>
        <w:t>The National Management Group and</w:t>
      </w:r>
      <w:r w:rsidR="007E3940">
        <w:rPr>
          <w:lang w:eastAsia="ja-JP"/>
        </w:rPr>
        <w:t xml:space="preserve"> the</w:t>
      </w:r>
      <w:r>
        <w:rPr>
          <w:lang w:eastAsia="ja-JP"/>
        </w:rPr>
        <w:t xml:space="preserve"> National Biosecurity Management Group endorse the specific pest or disease </w:t>
      </w:r>
      <w:r w:rsidR="005A3B1B">
        <w:rPr>
          <w:lang w:eastAsia="ja-JP"/>
        </w:rPr>
        <w:t>r</w:t>
      </w:r>
      <w:r>
        <w:rPr>
          <w:lang w:eastAsia="ja-JP"/>
        </w:rPr>
        <w:t xml:space="preserve">esponse </w:t>
      </w:r>
      <w:r w:rsidR="005A3B1B">
        <w:rPr>
          <w:lang w:eastAsia="ja-JP"/>
        </w:rPr>
        <w:t>p</w:t>
      </w:r>
      <w:r>
        <w:rPr>
          <w:lang w:eastAsia="ja-JP"/>
        </w:rPr>
        <w:t>lan proposed by the consultative committee. They decide on funding in line with the cost-sharing arrangements set out in</w:t>
      </w:r>
      <w:r w:rsidR="005A3B1B">
        <w:rPr>
          <w:lang w:eastAsia="ja-JP"/>
        </w:rPr>
        <w:t xml:space="preserve"> the</w:t>
      </w:r>
      <w:r>
        <w:rPr>
          <w:lang w:eastAsia="ja-JP"/>
        </w:rPr>
        <w:t xml:space="preserve"> EADRA,</w:t>
      </w:r>
      <w:r w:rsidR="005A3B1B">
        <w:rPr>
          <w:lang w:eastAsia="ja-JP"/>
        </w:rPr>
        <w:t xml:space="preserve"> in</w:t>
      </w:r>
      <w:r>
        <w:rPr>
          <w:lang w:eastAsia="ja-JP"/>
        </w:rPr>
        <w:t xml:space="preserve"> the EPPRD or under</w:t>
      </w:r>
      <w:r w:rsidR="005A3B1B">
        <w:rPr>
          <w:lang w:eastAsia="ja-JP"/>
        </w:rPr>
        <w:t xml:space="preserve"> the</w:t>
      </w:r>
      <w:r>
        <w:rPr>
          <w:lang w:eastAsia="ja-JP"/>
        </w:rPr>
        <w:t xml:space="preserve"> NEBRA.</w:t>
      </w:r>
    </w:p>
    <w:p w14:paraId="4DC9EF5F" w14:textId="59FB6793" w:rsidR="00B45F57" w:rsidRPr="00EF7FBD" w:rsidRDefault="00B45F57" w:rsidP="00EF7FBD">
      <w:r w:rsidRPr="00EF7FBD">
        <w:t>Members are:</w:t>
      </w:r>
    </w:p>
    <w:p w14:paraId="56F0E093" w14:textId="28B1743C" w:rsidR="00B45F57" w:rsidRPr="00EF7FBD" w:rsidRDefault="005A3B1B" w:rsidP="00EF7FBD">
      <w:pPr>
        <w:pStyle w:val="ListBullet"/>
      </w:pPr>
      <w:r w:rsidRPr="00EF7FBD">
        <w:t>d</w:t>
      </w:r>
      <w:r w:rsidR="00B45F57" w:rsidRPr="00EF7FBD">
        <w:t>irector</w:t>
      </w:r>
      <w:r w:rsidRPr="00EF7FBD">
        <w:t>s-g</w:t>
      </w:r>
      <w:r w:rsidR="00B45F57" w:rsidRPr="00EF7FBD">
        <w:t xml:space="preserve">eneral of </w:t>
      </w:r>
      <w:r w:rsidRPr="00EF7FBD">
        <w:t>b</w:t>
      </w:r>
      <w:r w:rsidR="00B45F57" w:rsidRPr="00EF7FBD">
        <w:t>iosecurity from the Australian, state and territory governments</w:t>
      </w:r>
    </w:p>
    <w:p w14:paraId="71E4467C" w14:textId="367B4CFA" w:rsidR="00B45F57" w:rsidRPr="00EF7FBD" w:rsidRDefault="005A3B1B" w:rsidP="00EF7FBD">
      <w:pPr>
        <w:pStyle w:val="ListBullet"/>
      </w:pPr>
      <w:r w:rsidRPr="00EF7FBD">
        <w:t>c</w:t>
      </w:r>
      <w:r w:rsidR="00B45F57" w:rsidRPr="00EF7FBD">
        <w:t xml:space="preserve">hief </w:t>
      </w:r>
      <w:r w:rsidRPr="00EF7FBD">
        <w:t>e</w:t>
      </w:r>
      <w:r w:rsidR="00B45F57" w:rsidRPr="00EF7FBD">
        <w:t xml:space="preserve">xecutive </w:t>
      </w:r>
      <w:r w:rsidRPr="00EF7FBD">
        <w:t>o</w:t>
      </w:r>
      <w:r w:rsidR="00B45F57" w:rsidRPr="00EF7FBD">
        <w:t>fficer</w:t>
      </w:r>
      <w:r w:rsidRPr="00EF7FBD">
        <w:t>s</w:t>
      </w:r>
      <w:r w:rsidR="00B45F57" w:rsidRPr="00EF7FBD">
        <w:t xml:space="preserve"> from affected industry organisations</w:t>
      </w:r>
    </w:p>
    <w:p w14:paraId="5D70F024" w14:textId="2D68D72F" w:rsidR="00B45F57" w:rsidRPr="00EF7FBD" w:rsidRDefault="00B45F57" w:rsidP="00EF7FBD">
      <w:pPr>
        <w:pStyle w:val="ListBullet"/>
      </w:pPr>
      <w:r w:rsidRPr="00EF7FBD">
        <w:t>Plant Health Australia (observer)</w:t>
      </w:r>
    </w:p>
    <w:p w14:paraId="50B980E6" w14:textId="5AA418D2" w:rsidR="00B45F57" w:rsidRPr="00EF7FBD" w:rsidRDefault="00B45F57" w:rsidP="00EF7FBD">
      <w:pPr>
        <w:pStyle w:val="ListBullet"/>
      </w:pPr>
      <w:r w:rsidRPr="00EF7FBD">
        <w:t>Animal Health Australia (observer).</w:t>
      </w:r>
    </w:p>
    <w:p w14:paraId="7792E000" w14:textId="4E079678" w:rsidR="00B45F57" w:rsidRDefault="00B45F57" w:rsidP="00B45F57">
      <w:pPr>
        <w:rPr>
          <w:lang w:eastAsia="ja-JP"/>
        </w:rPr>
      </w:pPr>
      <w:r>
        <w:rPr>
          <w:lang w:eastAsia="ja-JP"/>
        </w:rPr>
        <w:t>The chair is the Biosecurity Deputy Secretary in DAFF.</w:t>
      </w:r>
    </w:p>
    <w:p w14:paraId="58A86825" w14:textId="77777777" w:rsidR="00B45F57" w:rsidRDefault="00B45F57" w:rsidP="006569DA">
      <w:pPr>
        <w:pStyle w:val="Heading4"/>
        <w:numPr>
          <w:ilvl w:val="0"/>
          <w:numId w:val="0"/>
        </w:numPr>
        <w:ind w:left="964" w:hanging="964"/>
        <w:rPr>
          <w:lang w:eastAsia="ja-JP"/>
        </w:rPr>
      </w:pPr>
      <w:r>
        <w:rPr>
          <w:lang w:eastAsia="ja-JP"/>
        </w:rPr>
        <w:t>Pest and disease strategies</w:t>
      </w:r>
    </w:p>
    <w:p w14:paraId="078DFC50" w14:textId="3344F26E" w:rsidR="005C121B" w:rsidRPr="00EF7FBD" w:rsidRDefault="00B45F57" w:rsidP="00EF7FBD">
      <w:r>
        <w:rPr>
          <w:lang w:eastAsia="ja-JP"/>
        </w:rPr>
        <w:t>Response agreements are supported by a series of response plans or strategies that set out the preferred approach to achieve c</w:t>
      </w:r>
      <w:r w:rsidRPr="00EF7FBD">
        <w:t>ontainment, control and eradication of exotic pests and diseases.</w:t>
      </w:r>
    </w:p>
    <w:p w14:paraId="350531FC" w14:textId="67B05717" w:rsidR="00B45F57" w:rsidRPr="00EF7FBD" w:rsidRDefault="00B45F57" w:rsidP="00EF7FBD">
      <w:pPr>
        <w:pStyle w:val="ListBullet"/>
      </w:pPr>
      <w:hyperlink r:id="rId34" w:history="1">
        <w:r w:rsidRPr="00EF7FBD">
          <w:rPr>
            <w:rStyle w:val="Hyperlink"/>
            <w:color w:val="auto"/>
            <w:u w:val="none"/>
          </w:rPr>
          <w:t>AUSVETPLAN</w:t>
        </w:r>
      </w:hyperlink>
      <w:r w:rsidRPr="00EF7FBD">
        <w:t xml:space="preserve"> guides the response to animal pests and diseases</w:t>
      </w:r>
      <w:r w:rsidR="005A3B1B" w:rsidRPr="00EF7FBD">
        <w:t>.</w:t>
      </w:r>
    </w:p>
    <w:p w14:paraId="235B5C00" w14:textId="6C740A88" w:rsidR="00B45F57" w:rsidRPr="00EF7FBD" w:rsidRDefault="00B45F57" w:rsidP="00EF7FBD">
      <w:pPr>
        <w:pStyle w:val="ListBullet"/>
      </w:pPr>
      <w:hyperlink r:id="rId35" w:history="1">
        <w:r w:rsidRPr="00EF7FBD">
          <w:rPr>
            <w:rStyle w:val="Hyperlink"/>
            <w:color w:val="auto"/>
            <w:u w:val="none"/>
          </w:rPr>
          <w:t>PLANTPLAN</w:t>
        </w:r>
      </w:hyperlink>
      <w:r w:rsidRPr="00EF7FBD">
        <w:t xml:space="preserve"> guides the response to plant pests and diseases</w:t>
      </w:r>
      <w:r w:rsidR="005A3B1B" w:rsidRPr="00EF7FBD">
        <w:t>.</w:t>
      </w:r>
    </w:p>
    <w:p w14:paraId="65249042" w14:textId="7715371B" w:rsidR="005C121B" w:rsidRPr="00EF7FBD" w:rsidRDefault="00B45F57" w:rsidP="00EF7FBD">
      <w:pPr>
        <w:pStyle w:val="ListBullet"/>
      </w:pPr>
      <w:hyperlink r:id="rId36" w:history="1">
        <w:r w:rsidRPr="00EF7FBD">
          <w:rPr>
            <w:rStyle w:val="Hyperlink"/>
            <w:color w:val="auto"/>
            <w:u w:val="none"/>
          </w:rPr>
          <w:t>AQUAVETPLAN</w:t>
        </w:r>
      </w:hyperlink>
      <w:r w:rsidRPr="00EF7FBD">
        <w:t xml:space="preserve"> guides aquatic animal disease responses.</w:t>
      </w:r>
    </w:p>
    <w:p w14:paraId="3033C099" w14:textId="18D08178" w:rsidR="00B45F57" w:rsidRPr="00EF7FBD" w:rsidRDefault="00B45F57" w:rsidP="00EF7FBD">
      <w:r w:rsidRPr="00EF7FBD">
        <w:t xml:space="preserve">There are </w:t>
      </w:r>
      <w:hyperlink r:id="rId37" w:history="1">
        <w:r w:rsidR="00140261">
          <w:rPr>
            <w:rStyle w:val="Hyperlink"/>
          </w:rPr>
          <w:t>5</w:t>
        </w:r>
        <w:r w:rsidRPr="00EF7FBD">
          <w:rPr>
            <w:rStyle w:val="Hyperlink"/>
          </w:rPr>
          <w:t xml:space="preserve"> marine pest response manuals</w:t>
        </w:r>
      </w:hyperlink>
      <w:r w:rsidRPr="00EF7FBD">
        <w:t xml:space="preserve"> that provide guidance on responding to specific priority marine pests.</w:t>
      </w:r>
    </w:p>
    <w:p w14:paraId="4C70809B" w14:textId="1701781E" w:rsidR="00B45F57" w:rsidRPr="006569DA" w:rsidRDefault="00B45F57" w:rsidP="006569DA">
      <w:pPr>
        <w:pStyle w:val="BoxText"/>
      </w:pPr>
      <w:r w:rsidRPr="006569DA">
        <w:t xml:space="preserve">Public Information </w:t>
      </w:r>
      <w:r w:rsidR="003110F5">
        <w:t>O</w:t>
      </w:r>
      <w:r w:rsidRPr="006569DA">
        <w:t>fficers working in a nationally cost-shared biosecurity incident</w:t>
      </w:r>
      <w:r w:rsidR="005A3B1B">
        <w:t xml:space="preserve"> response</w:t>
      </w:r>
      <w:r w:rsidRPr="006569DA">
        <w:t xml:space="preserve"> need to be aware of the basic provisions of the national agreements and their confidentiality and communication requirements.</w:t>
      </w:r>
    </w:p>
    <w:p w14:paraId="02C03417" w14:textId="76D24B15" w:rsidR="00B45F57" w:rsidRPr="006569DA" w:rsidRDefault="00B45F57" w:rsidP="006569DA">
      <w:pPr>
        <w:pStyle w:val="BoxText"/>
      </w:pPr>
      <w:r w:rsidRPr="006569DA">
        <w:t xml:space="preserve">Make yourself familiar with the agreements by completing the online courses developed by </w:t>
      </w:r>
      <w:hyperlink r:id="rId38" w:history="1">
        <w:r w:rsidRPr="006569DA">
          <w:rPr>
            <w:rStyle w:val="Hyperlink"/>
          </w:rPr>
          <w:t>Plant Health Australia</w:t>
        </w:r>
      </w:hyperlink>
      <w:r w:rsidR="005A3B1B">
        <w:t xml:space="preserve"> and</w:t>
      </w:r>
      <w:r w:rsidRPr="006569DA">
        <w:t xml:space="preserve"> </w:t>
      </w:r>
      <w:hyperlink r:id="rId39" w:history="1">
        <w:r w:rsidRPr="006569DA">
          <w:rPr>
            <w:rStyle w:val="Hyperlink"/>
          </w:rPr>
          <w:t>Animal Health Australia</w:t>
        </w:r>
      </w:hyperlink>
      <w:r w:rsidRPr="006569DA">
        <w:t xml:space="preserve">, and courses available on the </w:t>
      </w:r>
      <w:hyperlink r:id="rId40" w:history="1">
        <w:r w:rsidRPr="006569DA">
          <w:rPr>
            <w:rStyle w:val="Hyperlink"/>
          </w:rPr>
          <w:t>National Biosecurity Training Hub</w:t>
        </w:r>
      </w:hyperlink>
      <w:r w:rsidR="006569DA">
        <w:t>.</w:t>
      </w:r>
    </w:p>
    <w:p w14:paraId="057B8801" w14:textId="75B2E94F" w:rsidR="00B45F57" w:rsidRDefault="00E01493" w:rsidP="00E01493">
      <w:pPr>
        <w:pStyle w:val="Heading2"/>
        <w:numPr>
          <w:ilvl w:val="0"/>
          <w:numId w:val="0"/>
        </w:numPr>
        <w:ind w:left="720" w:hanging="720"/>
      </w:pPr>
      <w:bookmarkStart w:id="20" w:name="_Toc230893539"/>
      <w:r>
        <w:lastRenderedPageBreak/>
        <w:t xml:space="preserve">Public </w:t>
      </w:r>
      <w:r w:rsidR="000A0E88">
        <w:t>I</w:t>
      </w:r>
      <w:r>
        <w:t>nformation coordination</w:t>
      </w:r>
      <w:bookmarkEnd w:id="20"/>
    </w:p>
    <w:p w14:paraId="432790E2" w14:textId="2C8D9583" w:rsidR="00E01493" w:rsidRDefault="00E01493" w:rsidP="00E01493">
      <w:pPr>
        <w:pStyle w:val="Heading3"/>
        <w:numPr>
          <w:ilvl w:val="0"/>
          <w:numId w:val="0"/>
        </w:numPr>
        <w:ind w:left="964" w:hanging="964"/>
        <w:rPr>
          <w:lang w:eastAsia="ja-JP"/>
        </w:rPr>
      </w:pPr>
      <w:bookmarkStart w:id="21" w:name="_Toc230893540"/>
      <w:r>
        <w:rPr>
          <w:lang w:eastAsia="ja-JP"/>
        </w:rPr>
        <w:t>N</w:t>
      </w:r>
      <w:r w:rsidR="34EE7A5B" w:rsidRPr="79702DDC">
        <w:rPr>
          <w:lang w:eastAsia="ja-JP"/>
        </w:rPr>
        <w:t>BCEN</w:t>
      </w:r>
      <w:bookmarkEnd w:id="21"/>
    </w:p>
    <w:p w14:paraId="61E65348" w14:textId="1FAE73C1" w:rsidR="00E01493" w:rsidRDefault="00E01493" w:rsidP="00E01493">
      <w:pPr>
        <w:rPr>
          <w:lang w:eastAsia="ja-JP"/>
        </w:rPr>
      </w:pPr>
      <w:r>
        <w:rPr>
          <w:lang w:eastAsia="ja-JP"/>
        </w:rPr>
        <w:t>NBCEN leads and coordinates strategic communication and engagement for the biosecurity sector, with a focus on prevention and preparedness.</w:t>
      </w:r>
    </w:p>
    <w:p w14:paraId="5C15EDC3" w14:textId="77777777" w:rsidR="00E01493" w:rsidRPr="00EF7FBD" w:rsidRDefault="00E01493" w:rsidP="00E01493">
      <w:pPr>
        <w:rPr>
          <w:lang w:eastAsia="ja-JP"/>
        </w:rPr>
      </w:pPr>
      <w:r w:rsidRPr="00EF7FBD">
        <w:rPr>
          <w:lang w:eastAsia="ja-JP"/>
        </w:rPr>
        <w:t>NBCEN’s core membership comprises relevant communication representatives from:</w:t>
      </w:r>
    </w:p>
    <w:p w14:paraId="504F2E4D" w14:textId="1F8E6BA2" w:rsidR="00E01493" w:rsidRPr="00EF7FBD" w:rsidRDefault="00E01493" w:rsidP="00EF7FBD">
      <w:pPr>
        <w:pStyle w:val="ListBullet"/>
      </w:pPr>
      <w:r w:rsidRPr="00EF7FBD">
        <w:t xml:space="preserve">the Australian Government </w:t>
      </w:r>
      <w:r w:rsidR="00A67D64">
        <w:t xml:space="preserve">(DAFF) </w:t>
      </w:r>
    </w:p>
    <w:p w14:paraId="08B01F5C" w14:textId="2D69711D" w:rsidR="00E01493" w:rsidRPr="00EF7FBD" w:rsidRDefault="00E01493" w:rsidP="00EF7FBD">
      <w:pPr>
        <w:pStyle w:val="ListBullet"/>
      </w:pPr>
      <w:r w:rsidRPr="00EF7FBD">
        <w:t>state and territory primary industries departments or biosecurity agencies</w:t>
      </w:r>
    </w:p>
    <w:p w14:paraId="67AFC8AA" w14:textId="490C24F1" w:rsidR="00E01493" w:rsidRPr="00EF7FBD" w:rsidRDefault="00E01493" w:rsidP="00EF7FBD">
      <w:pPr>
        <w:pStyle w:val="ListBullet"/>
      </w:pPr>
      <w:r w:rsidRPr="00EF7FBD">
        <w:t>Animal Health Australia</w:t>
      </w:r>
    </w:p>
    <w:p w14:paraId="5DB1FD18" w14:textId="6BE8814D" w:rsidR="00E01493" w:rsidRPr="00EF7FBD" w:rsidRDefault="00E01493" w:rsidP="00EF7FBD">
      <w:pPr>
        <w:pStyle w:val="ListBullet"/>
      </w:pPr>
      <w:r w:rsidRPr="00EF7FBD">
        <w:t>Plant Health Australia</w:t>
      </w:r>
    </w:p>
    <w:p w14:paraId="10476BAC" w14:textId="366F44AA" w:rsidR="00E01493" w:rsidRPr="00EF7FBD" w:rsidRDefault="00E01493" w:rsidP="00EF7FBD">
      <w:pPr>
        <w:pStyle w:val="ListBullet"/>
      </w:pPr>
      <w:r w:rsidRPr="00EF7FBD">
        <w:t>Wildlife Health Australia</w:t>
      </w:r>
    </w:p>
    <w:p w14:paraId="2B22D55B" w14:textId="7A453C91" w:rsidR="005C121B" w:rsidRPr="00EF7FBD" w:rsidRDefault="00E01493" w:rsidP="00EF7FBD">
      <w:pPr>
        <w:pStyle w:val="ListBullet"/>
      </w:pPr>
      <w:r w:rsidRPr="00EF7FBD">
        <w:t>CSIRO’s Australian Centre for Disease Preparedness.</w:t>
      </w:r>
    </w:p>
    <w:p w14:paraId="0447F1A6" w14:textId="7C974941" w:rsidR="00E01493" w:rsidRPr="009B02E8" w:rsidRDefault="00E01493" w:rsidP="009B02E8">
      <w:r w:rsidRPr="009B02E8">
        <w:t xml:space="preserve">NBCEN is a subcommittee of the </w:t>
      </w:r>
      <w:hyperlink r:id="rId41" w:history="1">
        <w:r w:rsidRPr="009B02E8">
          <w:rPr>
            <w:rStyle w:val="Hyperlink"/>
          </w:rPr>
          <w:t>National Biosecurity Committee</w:t>
        </w:r>
      </w:hyperlink>
      <w:r w:rsidRPr="009B02E8">
        <w:t>.</w:t>
      </w:r>
    </w:p>
    <w:p w14:paraId="570E18FD" w14:textId="115DFCDF" w:rsidR="00E01493" w:rsidRPr="00EF7FBD" w:rsidRDefault="00E01493" w:rsidP="00E01493">
      <w:pPr>
        <w:pStyle w:val="Heading4"/>
        <w:numPr>
          <w:ilvl w:val="0"/>
          <w:numId w:val="0"/>
        </w:numPr>
        <w:ind w:left="964" w:hanging="964"/>
        <w:rPr>
          <w:lang w:eastAsia="ja-JP"/>
        </w:rPr>
      </w:pPr>
      <w:r w:rsidRPr="00EF7FBD">
        <w:rPr>
          <w:lang w:eastAsia="ja-JP"/>
        </w:rPr>
        <w:t>NBCEN Response Group</w:t>
      </w:r>
    </w:p>
    <w:p w14:paraId="52E177C7" w14:textId="4CD9A14B" w:rsidR="00E01493" w:rsidRPr="00EF7FBD" w:rsidRDefault="00E01493" w:rsidP="00E01493">
      <w:pPr>
        <w:rPr>
          <w:lang w:eastAsia="ja-JP"/>
        </w:rPr>
      </w:pPr>
      <w:r w:rsidRPr="00EF7FBD">
        <w:rPr>
          <w:lang w:eastAsia="ja-JP"/>
        </w:rPr>
        <w:t>If a response is widespread or fast moving and requires an IMT to be set up by any jurisdiction, NBCEN will transition into the NBCEN Response Group (NRG)</w:t>
      </w:r>
      <w:r w:rsidR="009100E3" w:rsidRPr="00EF7FBD">
        <w:rPr>
          <w:lang w:eastAsia="ja-JP"/>
        </w:rPr>
        <w:t>,</w:t>
      </w:r>
      <w:r w:rsidRPr="00EF7FBD">
        <w:rPr>
          <w:lang w:eastAsia="ja-JP"/>
        </w:rPr>
        <w:t xml:space="preserve"> which allows for its membership to be expanded to include:</w:t>
      </w:r>
    </w:p>
    <w:p w14:paraId="2EBCED47" w14:textId="0DD26095" w:rsidR="00E01493" w:rsidRPr="00EF7FBD" w:rsidRDefault="00E01493" w:rsidP="00EF7FBD">
      <w:pPr>
        <w:pStyle w:val="ListBullet"/>
      </w:pPr>
      <w:r w:rsidRPr="00EF7FBD">
        <w:t xml:space="preserve">the </w:t>
      </w:r>
      <w:r w:rsidR="007E3940" w:rsidRPr="00EF7FBD">
        <w:t>P</w:t>
      </w:r>
      <w:r w:rsidRPr="00EF7FBD">
        <w:t xml:space="preserve">ublic </w:t>
      </w:r>
      <w:r w:rsidR="007E3940" w:rsidRPr="00EF7FBD">
        <w:t>I</w:t>
      </w:r>
      <w:r w:rsidRPr="00EF7FBD">
        <w:t xml:space="preserve">nformation </w:t>
      </w:r>
      <w:r w:rsidR="003110F5">
        <w:t>O</w:t>
      </w:r>
      <w:r w:rsidRPr="00EF7FBD">
        <w:t xml:space="preserve">fficer </w:t>
      </w:r>
      <w:r w:rsidR="009E482C" w:rsidRPr="00EF7FBD">
        <w:t>and/</w:t>
      </w:r>
      <w:r w:rsidR="005607DA" w:rsidRPr="00EF7FBD">
        <w:t xml:space="preserve">or NBCEN representative </w:t>
      </w:r>
      <w:r w:rsidRPr="00EF7FBD">
        <w:t>from each jurisdiction</w:t>
      </w:r>
    </w:p>
    <w:p w14:paraId="20E78A6C" w14:textId="3E98F39E" w:rsidR="00E01493" w:rsidRPr="00EF7FBD" w:rsidRDefault="00E01493" w:rsidP="00EF7FBD">
      <w:pPr>
        <w:pStyle w:val="ListBullet"/>
      </w:pPr>
      <w:r w:rsidRPr="00EF7FBD">
        <w:t xml:space="preserve">representatives from other IMT functions </w:t>
      </w:r>
      <w:r w:rsidR="009100E3" w:rsidRPr="00EF7FBD">
        <w:t>(</w:t>
      </w:r>
      <w:r w:rsidRPr="00EF7FBD">
        <w:t xml:space="preserve">e.g. </w:t>
      </w:r>
      <w:r w:rsidR="008F7BD2">
        <w:t>O</w:t>
      </w:r>
      <w:r w:rsidRPr="00EF7FBD">
        <w:t xml:space="preserve">perations or </w:t>
      </w:r>
      <w:r w:rsidR="008F7BD2">
        <w:t>P</w:t>
      </w:r>
      <w:r w:rsidRPr="00EF7FBD">
        <w:t>lanning</w:t>
      </w:r>
      <w:r w:rsidR="009100E3" w:rsidRPr="00EF7FBD">
        <w:t xml:space="preserve">), </w:t>
      </w:r>
      <w:r w:rsidRPr="00EF7FBD">
        <w:t xml:space="preserve">to inform the </w:t>
      </w:r>
      <w:r w:rsidR="00E54595">
        <w:t>p</w:t>
      </w:r>
      <w:r w:rsidRPr="00EF7FBD">
        <w:t xml:space="preserve">ublic </w:t>
      </w:r>
      <w:r w:rsidR="00E54595">
        <w:t>i</w:t>
      </w:r>
      <w:r w:rsidRPr="00EF7FBD">
        <w:t>nformation function</w:t>
      </w:r>
      <w:r w:rsidR="002110AC">
        <w:t>s</w:t>
      </w:r>
    </w:p>
    <w:p w14:paraId="6DB60B9A" w14:textId="7DC609C1" w:rsidR="00E01493" w:rsidRPr="00EF7FBD" w:rsidRDefault="00E01493" w:rsidP="00EF7FBD">
      <w:pPr>
        <w:pStyle w:val="ListBullet"/>
      </w:pPr>
      <w:r w:rsidRPr="00EF7FBD">
        <w:t>industry communication managers impacted by the response</w:t>
      </w:r>
      <w:r w:rsidR="00E54595">
        <w:t xml:space="preserve"> </w:t>
      </w:r>
      <w:r w:rsidR="00FF33D1">
        <w:t>(</w:t>
      </w:r>
      <w:r w:rsidR="0081510C">
        <w:t xml:space="preserve">from </w:t>
      </w:r>
      <w:r w:rsidR="00530369">
        <w:t xml:space="preserve">those </w:t>
      </w:r>
      <w:r w:rsidR="00E54595">
        <w:t>organisations</w:t>
      </w:r>
      <w:r w:rsidR="00530369">
        <w:t xml:space="preserve"> </w:t>
      </w:r>
      <w:r w:rsidR="004A704D">
        <w:t xml:space="preserve">that </w:t>
      </w:r>
      <w:r w:rsidR="00F05120">
        <w:t xml:space="preserve">are </w:t>
      </w:r>
      <w:r w:rsidR="00234CCC">
        <w:t xml:space="preserve">signatories to </w:t>
      </w:r>
      <w:r w:rsidR="00F55F6F">
        <w:t xml:space="preserve">the </w:t>
      </w:r>
      <w:r w:rsidR="00234CCC">
        <w:t>cost-sharing deed or agreements</w:t>
      </w:r>
      <w:r w:rsidR="00530369">
        <w:t>)</w:t>
      </w:r>
    </w:p>
    <w:p w14:paraId="7BE7FFE3" w14:textId="184F6E97" w:rsidR="00E01493" w:rsidRPr="00EF7FBD" w:rsidRDefault="00E01493" w:rsidP="00EF7FBD">
      <w:pPr>
        <w:pStyle w:val="ListBullet"/>
      </w:pPr>
      <w:r w:rsidRPr="00EF7FBD">
        <w:t>representatives from other Australian Government</w:t>
      </w:r>
      <w:r w:rsidR="009100E3" w:rsidRPr="00EF7FBD">
        <w:t xml:space="preserve"> and</w:t>
      </w:r>
      <w:r w:rsidRPr="00EF7FBD">
        <w:t xml:space="preserve"> state/territory agencies involved in the response </w:t>
      </w:r>
      <w:r w:rsidR="009100E3" w:rsidRPr="00EF7FBD">
        <w:t>(</w:t>
      </w:r>
      <w:r w:rsidRPr="00EF7FBD">
        <w:t>e.g. health, environment</w:t>
      </w:r>
      <w:r w:rsidR="009100E3" w:rsidRPr="00EF7FBD">
        <w:t>)</w:t>
      </w:r>
      <w:r w:rsidRPr="00EF7FBD">
        <w:t>.</w:t>
      </w:r>
    </w:p>
    <w:p w14:paraId="0E50ABB7" w14:textId="058C876E" w:rsidR="00E01493" w:rsidRDefault="00E01493" w:rsidP="00E01493">
      <w:pPr>
        <w:rPr>
          <w:lang w:eastAsia="ja-JP"/>
        </w:rPr>
      </w:pPr>
      <w:r>
        <w:rPr>
          <w:lang w:eastAsia="ja-JP"/>
        </w:rPr>
        <w:t xml:space="preserve">During a response any jurisdiction or organisation may request a meeting of the NRG. The NBCEN </w:t>
      </w:r>
      <w:r w:rsidRPr="00AC7B20">
        <w:rPr>
          <w:lang w:eastAsia="ja-JP"/>
        </w:rPr>
        <w:t>Secretariat</w:t>
      </w:r>
      <w:r>
        <w:rPr>
          <w:lang w:eastAsia="ja-JP"/>
        </w:rPr>
        <w:t xml:space="preserve"> will organise the meeting and</w:t>
      </w:r>
      <w:r w:rsidR="009100E3">
        <w:rPr>
          <w:lang w:eastAsia="ja-JP"/>
        </w:rPr>
        <w:t>,</w:t>
      </w:r>
      <w:r>
        <w:rPr>
          <w:lang w:eastAsia="ja-JP"/>
        </w:rPr>
        <w:t xml:space="preserve"> where required, prepare an agenda and record action items.</w:t>
      </w:r>
    </w:p>
    <w:p w14:paraId="47D855E2" w14:textId="163DCFE1" w:rsidR="00E01493" w:rsidRDefault="00E01493" w:rsidP="00E01493">
      <w:pPr>
        <w:rPr>
          <w:lang w:eastAsia="ja-JP"/>
        </w:rPr>
      </w:pPr>
      <w:r>
        <w:rPr>
          <w:lang w:eastAsia="ja-JP"/>
        </w:rPr>
        <w:t xml:space="preserve">The NRG coordinates nationally consistent public information in response to </w:t>
      </w:r>
      <w:r w:rsidR="00875CC4">
        <w:rPr>
          <w:lang w:eastAsia="ja-JP"/>
        </w:rPr>
        <w:t xml:space="preserve">all </w:t>
      </w:r>
      <w:r>
        <w:rPr>
          <w:lang w:eastAsia="ja-JP"/>
        </w:rPr>
        <w:t xml:space="preserve">pest and disease (biosecurity) incidents. It operates under an </w:t>
      </w:r>
      <w:r w:rsidR="009100E3">
        <w:rPr>
          <w:lang w:eastAsia="ja-JP"/>
        </w:rPr>
        <w:t>‘</w:t>
      </w:r>
      <w:r>
        <w:rPr>
          <w:lang w:eastAsia="ja-JP"/>
        </w:rPr>
        <w:t>all hazards, all agencies</w:t>
      </w:r>
      <w:r w:rsidR="009100E3">
        <w:rPr>
          <w:lang w:eastAsia="ja-JP"/>
        </w:rPr>
        <w:t>’</w:t>
      </w:r>
      <w:r>
        <w:rPr>
          <w:lang w:eastAsia="ja-JP"/>
        </w:rPr>
        <w:t xml:space="preserve"> approach.</w:t>
      </w:r>
    </w:p>
    <w:p w14:paraId="5163A71A" w14:textId="57909B92" w:rsidR="00E01493" w:rsidRDefault="00E01493" w:rsidP="00E01493">
      <w:pPr>
        <w:rPr>
          <w:lang w:eastAsia="ja-JP"/>
        </w:rPr>
      </w:pPr>
      <w:r>
        <w:rPr>
          <w:lang w:eastAsia="ja-JP"/>
        </w:rPr>
        <w:t>NRG will circulate media releases, talking points and other public information products across jurisdictions and industry groups to enable consistent messaging and reduce duplicated effort.</w:t>
      </w:r>
    </w:p>
    <w:p w14:paraId="770E6EC7" w14:textId="77777777" w:rsidR="00E01493" w:rsidRPr="00EF7FBD" w:rsidRDefault="00E01493" w:rsidP="00742B9E">
      <w:pPr>
        <w:keepNext/>
      </w:pPr>
      <w:r w:rsidRPr="00EF7FBD">
        <w:lastRenderedPageBreak/>
        <w:t>During a biosecurity incident NRG:</w:t>
      </w:r>
    </w:p>
    <w:p w14:paraId="7FBCBC6E" w14:textId="5864D27B" w:rsidR="00E01493" w:rsidRPr="00EF7FBD" w:rsidRDefault="009100E3" w:rsidP="00742B9E">
      <w:pPr>
        <w:pStyle w:val="ListBullet"/>
        <w:keepNext/>
      </w:pPr>
      <w:r w:rsidRPr="00EF7FBD">
        <w:t>s</w:t>
      </w:r>
      <w:r w:rsidR="00E01493" w:rsidRPr="00EF7FBD">
        <w:t>upports response activities outlined in the nationally agreed pest or disease response plan</w:t>
      </w:r>
    </w:p>
    <w:p w14:paraId="62A85409" w14:textId="1FFEDDBB" w:rsidR="005C121B" w:rsidRPr="00EF7FBD" w:rsidRDefault="001F1353" w:rsidP="00EF7FBD">
      <w:pPr>
        <w:pStyle w:val="ListBullet"/>
      </w:pPr>
      <w:r w:rsidRPr="00EF7FBD">
        <w:t>p</w:t>
      </w:r>
      <w:r w:rsidR="00E01493" w:rsidRPr="00EF7FBD">
        <w:t>rovides strategic communication advice to the relevant consultative committee and develops national talking points</w:t>
      </w:r>
    </w:p>
    <w:p w14:paraId="388C2345" w14:textId="329EE56B" w:rsidR="00E01493" w:rsidRPr="00EF7FBD" w:rsidRDefault="001F1353" w:rsidP="00EF7FBD">
      <w:pPr>
        <w:pStyle w:val="ListBullet"/>
      </w:pPr>
      <w:r w:rsidRPr="00EF7FBD">
        <w:t>e</w:t>
      </w:r>
      <w:r w:rsidR="00E01493" w:rsidRPr="00EF7FBD">
        <w:t>nsures national media and communication procedures for biosecurity incidents are activated and implemented accordingly</w:t>
      </w:r>
    </w:p>
    <w:p w14:paraId="7331CD4E" w14:textId="23A6A597" w:rsidR="00E01493" w:rsidRPr="00EF7FBD" w:rsidRDefault="001F1353" w:rsidP="00EF7FBD">
      <w:pPr>
        <w:pStyle w:val="ListBullet"/>
      </w:pPr>
      <w:r w:rsidRPr="00EF7FBD">
        <w:t>p</w:t>
      </w:r>
      <w:r w:rsidR="00E01493" w:rsidRPr="00EF7FBD">
        <w:t>rovides tailored, accurate and clear information to audiences quickly</w:t>
      </w:r>
    </w:p>
    <w:p w14:paraId="589E0EDD" w14:textId="574BD153" w:rsidR="00E01493" w:rsidRPr="00EF7FBD" w:rsidRDefault="001F1353" w:rsidP="00EF7FBD">
      <w:pPr>
        <w:pStyle w:val="ListBullet"/>
      </w:pPr>
      <w:r w:rsidRPr="00EF7FBD">
        <w:t>f</w:t>
      </w:r>
      <w:r w:rsidR="00E01493" w:rsidRPr="00EF7FBD">
        <w:t>acilitates the flow of information between jurisdictions (related to public information activities)</w:t>
      </w:r>
    </w:p>
    <w:p w14:paraId="42AD12EB" w14:textId="2C374221" w:rsidR="00E01493" w:rsidRPr="00EF7FBD" w:rsidRDefault="001F1353" w:rsidP="00EF7FBD">
      <w:pPr>
        <w:pStyle w:val="ListBullet"/>
      </w:pPr>
      <w:r w:rsidRPr="00EF7FBD">
        <w:t>p</w:t>
      </w:r>
      <w:r w:rsidR="00E01493" w:rsidRPr="00EF7FBD">
        <w:t>rovides experienced public information officers to other jurisdictions (where available through the jurisdictional deployment coordination mechanism)</w:t>
      </w:r>
    </w:p>
    <w:p w14:paraId="75CDDE40" w14:textId="0C0C5068" w:rsidR="005C121B" w:rsidRPr="00EF7FBD" w:rsidRDefault="001F1353" w:rsidP="00EF7FBD">
      <w:pPr>
        <w:pStyle w:val="ListBullet"/>
      </w:pPr>
      <w:r w:rsidRPr="00EF7FBD">
        <w:t>e</w:t>
      </w:r>
      <w:r w:rsidR="00E01493" w:rsidRPr="00EF7FBD">
        <w:t>nsures the key principles of crisis communication and best practice are upheld throughout the response and into recovery.</w:t>
      </w:r>
    </w:p>
    <w:p w14:paraId="2E9CBD01" w14:textId="6EACC9FD" w:rsidR="00E01493" w:rsidRDefault="00E01493" w:rsidP="00E01493">
      <w:pPr>
        <w:pStyle w:val="Heading3"/>
        <w:numPr>
          <w:ilvl w:val="0"/>
          <w:numId w:val="0"/>
        </w:numPr>
        <w:rPr>
          <w:lang w:eastAsia="ja-JP"/>
        </w:rPr>
      </w:pPr>
      <w:bookmarkStart w:id="22" w:name="_Toc230893541"/>
      <w:r>
        <w:rPr>
          <w:lang w:eastAsia="ja-JP"/>
        </w:rPr>
        <w:t>Delivering messages between agencies and organisations</w:t>
      </w:r>
      <w:bookmarkEnd w:id="22"/>
    </w:p>
    <w:p w14:paraId="4BF82019" w14:textId="130BFA71" w:rsidR="00E01493" w:rsidRDefault="001F1353" w:rsidP="00E01493">
      <w:pPr>
        <w:rPr>
          <w:lang w:eastAsia="ja-JP"/>
        </w:rPr>
      </w:pPr>
      <w:hyperlink w:anchor="Table_2" w:history="1">
        <w:r w:rsidRPr="005D595C">
          <w:rPr>
            <w:rStyle w:val="Hyperlink"/>
            <w:lang w:eastAsia="ja-JP"/>
          </w:rPr>
          <w:t>Table 2</w:t>
        </w:r>
      </w:hyperlink>
      <w:r w:rsidR="00E01493">
        <w:rPr>
          <w:lang w:eastAsia="ja-JP"/>
        </w:rPr>
        <w:t xml:space="preserve"> identifies the responsibilities of the Australian Government,</w:t>
      </w:r>
      <w:r>
        <w:rPr>
          <w:lang w:eastAsia="ja-JP"/>
        </w:rPr>
        <w:t xml:space="preserve"> the</w:t>
      </w:r>
      <w:r w:rsidR="00E01493">
        <w:rPr>
          <w:lang w:eastAsia="ja-JP"/>
        </w:rPr>
        <w:t xml:space="preserve"> state</w:t>
      </w:r>
      <w:r w:rsidR="00422D1B">
        <w:rPr>
          <w:lang w:eastAsia="ja-JP"/>
        </w:rPr>
        <w:t>s</w:t>
      </w:r>
      <w:r w:rsidR="00E01493">
        <w:rPr>
          <w:lang w:eastAsia="ja-JP"/>
        </w:rPr>
        <w:t xml:space="preserve"> and territories, and industry for delivering messaging during a response.</w:t>
      </w:r>
    </w:p>
    <w:p w14:paraId="1DE1F445" w14:textId="4B712733" w:rsidR="00E01493" w:rsidRDefault="00E01493" w:rsidP="00F93897">
      <w:pPr>
        <w:pStyle w:val="Caption"/>
      </w:pPr>
      <w:bookmarkStart w:id="23" w:name="Table_2"/>
      <w:bookmarkStart w:id="24" w:name="_Toc230893546"/>
      <w:bookmarkEnd w:id="23"/>
      <w:r>
        <w:t xml:space="preserve">Table </w:t>
      </w:r>
      <w:r>
        <w:fldChar w:fldCharType="begin"/>
      </w:r>
      <w:r>
        <w:instrText>SEQ Table \* ARABIC</w:instrText>
      </w:r>
      <w:r>
        <w:fldChar w:fldCharType="separate"/>
      </w:r>
      <w:r>
        <w:rPr>
          <w:noProof/>
        </w:rPr>
        <w:t>2</w:t>
      </w:r>
      <w:r>
        <w:fldChar w:fldCharType="end"/>
      </w:r>
      <w:r>
        <w:t xml:space="preserve"> </w:t>
      </w:r>
      <w:r w:rsidRPr="00F34C34">
        <w:t>Public messaging delivery responsibilities</w:t>
      </w:r>
      <w:bookmarkEnd w:id="24"/>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3023"/>
        <w:gridCol w:w="3023"/>
        <w:gridCol w:w="3024"/>
      </w:tblGrid>
      <w:tr w:rsidR="001A3952" w:rsidRPr="00B16192" w14:paraId="0FEBDB59" w14:textId="77777777" w:rsidTr="00BA6911">
        <w:trPr>
          <w:cantSplit/>
          <w:tblHeader/>
        </w:trPr>
        <w:tc>
          <w:tcPr>
            <w:tcW w:w="3023" w:type="dxa"/>
            <w:tcMar>
              <w:left w:w="108" w:type="dxa"/>
              <w:right w:w="108" w:type="dxa"/>
            </w:tcMar>
          </w:tcPr>
          <w:p w14:paraId="5F97AAEE" w14:textId="401E6A03" w:rsidR="001A3952" w:rsidRPr="00B16192" w:rsidRDefault="001A3952" w:rsidP="0050004E">
            <w:pPr>
              <w:pStyle w:val="TableHeading"/>
            </w:pPr>
            <w:r>
              <w:t>Australian Government</w:t>
            </w:r>
          </w:p>
        </w:tc>
        <w:tc>
          <w:tcPr>
            <w:tcW w:w="3023" w:type="dxa"/>
          </w:tcPr>
          <w:p w14:paraId="17640BC9" w14:textId="02470E87" w:rsidR="001A3952" w:rsidRDefault="001A3952" w:rsidP="0050004E">
            <w:pPr>
              <w:pStyle w:val="TableHeading"/>
            </w:pPr>
            <w:r>
              <w:t>Combat jurisdiction</w:t>
            </w:r>
          </w:p>
        </w:tc>
        <w:tc>
          <w:tcPr>
            <w:tcW w:w="3024" w:type="dxa"/>
            <w:tcMar>
              <w:left w:w="108" w:type="dxa"/>
              <w:right w:w="108" w:type="dxa"/>
            </w:tcMar>
          </w:tcPr>
          <w:p w14:paraId="58856120" w14:textId="69C25D69" w:rsidR="001A3952" w:rsidRPr="00B16192" w:rsidRDefault="001A3952" w:rsidP="0050004E">
            <w:pPr>
              <w:pStyle w:val="TableHeading"/>
            </w:pPr>
            <w:r>
              <w:t>Industry</w:t>
            </w:r>
          </w:p>
        </w:tc>
      </w:tr>
      <w:tr w:rsidR="001A3952" w:rsidRPr="00B16192" w14:paraId="7178DCA9" w14:textId="77777777" w:rsidTr="00BA6911">
        <w:trPr>
          <w:cantSplit/>
          <w:tblHeader/>
        </w:trPr>
        <w:tc>
          <w:tcPr>
            <w:tcW w:w="3023" w:type="dxa"/>
            <w:tcMar>
              <w:left w:w="108" w:type="dxa"/>
              <w:right w:w="108" w:type="dxa"/>
            </w:tcMar>
          </w:tcPr>
          <w:p w14:paraId="6E20C508" w14:textId="7E0D0D6E" w:rsidR="001A3952" w:rsidRPr="001A3952" w:rsidRDefault="001A3952" w:rsidP="001A3952">
            <w:pPr>
              <w:pStyle w:val="TableText"/>
            </w:pPr>
            <w:r>
              <w:t>Messaging about:</w:t>
            </w:r>
          </w:p>
          <w:p w14:paraId="058866C3" w14:textId="09BAA861" w:rsidR="001A3952" w:rsidRDefault="001F1353" w:rsidP="001A3952">
            <w:pPr>
              <w:pStyle w:val="TableBullet"/>
            </w:pPr>
            <w:r>
              <w:t>a</w:t>
            </w:r>
            <w:r w:rsidR="001A3952">
              <w:t xml:space="preserve">nnouncing national movement restrictions (if applicable) e.g. </w:t>
            </w:r>
            <w:r>
              <w:t>n</w:t>
            </w:r>
            <w:r w:rsidR="001A3952">
              <w:t xml:space="preserve">ational </w:t>
            </w:r>
            <w:r>
              <w:t>l</w:t>
            </w:r>
            <w:r w:rsidR="001A3952">
              <w:t xml:space="preserve">ivestock </w:t>
            </w:r>
            <w:r>
              <w:t>s</w:t>
            </w:r>
            <w:r w:rsidR="001A3952">
              <w:t>tandstill</w:t>
            </w:r>
          </w:p>
          <w:p w14:paraId="5CDAF512" w14:textId="06C280A9" w:rsidR="001A3952" w:rsidRDefault="001A3952" w:rsidP="001A3952">
            <w:pPr>
              <w:pStyle w:val="TableBullet"/>
            </w:pPr>
            <w:r>
              <w:t>Australia’s international border (passengers, mail, conveyances and cargo)</w:t>
            </w:r>
          </w:p>
          <w:p w14:paraId="56F89026" w14:textId="58DA4889" w:rsidR="001A3952" w:rsidRDefault="001F1353" w:rsidP="001A3952">
            <w:pPr>
              <w:pStyle w:val="TableBullet"/>
            </w:pPr>
            <w:r>
              <w:t>c</w:t>
            </w:r>
            <w:r w:rsidR="001A3952">
              <w:t>onsolidated national data</w:t>
            </w:r>
          </w:p>
          <w:p w14:paraId="18BEEF21" w14:textId="491D8B8E" w:rsidR="001A3952" w:rsidRDefault="001F1353" w:rsidP="001A3952">
            <w:pPr>
              <w:pStyle w:val="TableBullet"/>
            </w:pPr>
            <w:r>
              <w:t>n</w:t>
            </w:r>
            <w:r w:rsidR="001A3952">
              <w:t>ational and international resourcing/deployments</w:t>
            </w:r>
          </w:p>
          <w:p w14:paraId="6FE878FC" w14:textId="0D7FB3FC" w:rsidR="001A3952" w:rsidRDefault="001F1353" w:rsidP="001A3952">
            <w:pPr>
              <w:pStyle w:val="TableBullet"/>
            </w:pPr>
            <w:r>
              <w:t>n</w:t>
            </w:r>
            <w:r w:rsidR="001A3952">
              <w:t>ational funding/financial assistance</w:t>
            </w:r>
          </w:p>
          <w:p w14:paraId="44765DFF" w14:textId="77288583" w:rsidR="001A3952" w:rsidRDefault="001F1353" w:rsidP="001A3952">
            <w:pPr>
              <w:pStyle w:val="TableBullet"/>
            </w:pPr>
            <w:r>
              <w:t>n</w:t>
            </w:r>
            <w:r w:rsidR="001A3952">
              <w:t>ational legislation</w:t>
            </w:r>
          </w:p>
          <w:p w14:paraId="327F121B" w14:textId="6896F0EB" w:rsidR="005C121B" w:rsidRDefault="001F1353" w:rsidP="001A3952">
            <w:pPr>
              <w:pStyle w:val="TableBullet"/>
            </w:pPr>
            <w:r>
              <w:t>n</w:t>
            </w:r>
            <w:r w:rsidR="001A3952">
              <w:t>ational operations</w:t>
            </w:r>
          </w:p>
          <w:p w14:paraId="19029F38" w14:textId="3D2DB5FF" w:rsidR="001A3952" w:rsidRDefault="001F1353" w:rsidP="001A3952">
            <w:pPr>
              <w:pStyle w:val="TableBullet"/>
            </w:pPr>
            <w:r>
              <w:t>o</w:t>
            </w:r>
            <w:r w:rsidR="001A3952">
              <w:t>verarching biosecurity advice (keep out, keep clean, keep watch, report</w:t>
            </w:r>
            <w:r>
              <w:t>)</w:t>
            </w:r>
          </w:p>
          <w:p w14:paraId="14A2D654" w14:textId="1DABBC80" w:rsidR="001A3952" w:rsidRDefault="001F1353" w:rsidP="001A3952">
            <w:pPr>
              <w:pStyle w:val="TableBullet"/>
            </w:pPr>
            <w:r>
              <w:t>a</w:t>
            </w:r>
            <w:r w:rsidR="001A3952">
              <w:t>dvice to exporters and importers</w:t>
            </w:r>
          </w:p>
          <w:p w14:paraId="52371470" w14:textId="606B36AA" w:rsidR="005C121B" w:rsidRDefault="001F1353" w:rsidP="001A3952">
            <w:pPr>
              <w:pStyle w:val="TableBullet"/>
            </w:pPr>
            <w:r>
              <w:t>t</w:t>
            </w:r>
            <w:r w:rsidR="001A3952">
              <w:t>rade implications/market access</w:t>
            </w:r>
          </w:p>
          <w:p w14:paraId="664AAD30" w14:textId="0C1D127E" w:rsidR="001A3952" w:rsidRPr="00B16192" w:rsidRDefault="001F1353" w:rsidP="001A3952">
            <w:pPr>
              <w:pStyle w:val="TableBullet"/>
            </w:pPr>
            <w:r>
              <w:t>v</w:t>
            </w:r>
            <w:r w:rsidR="001A3952">
              <w:t>accine imports/approvals</w:t>
            </w:r>
          </w:p>
        </w:tc>
        <w:tc>
          <w:tcPr>
            <w:tcW w:w="3023" w:type="dxa"/>
          </w:tcPr>
          <w:p w14:paraId="4F757AAC" w14:textId="0DC4632D" w:rsidR="001A3952" w:rsidRDefault="001A3952" w:rsidP="001A3952">
            <w:pPr>
              <w:pStyle w:val="TableText"/>
            </w:pPr>
            <w:r>
              <w:t>Messaging about:</w:t>
            </w:r>
          </w:p>
          <w:p w14:paraId="00521F6E" w14:textId="525B337B" w:rsidR="005C121B" w:rsidRDefault="001F1353" w:rsidP="001A3952">
            <w:pPr>
              <w:pStyle w:val="TableBullet"/>
            </w:pPr>
            <w:r>
              <w:t>c</w:t>
            </w:r>
            <w:r w:rsidR="001A3952">
              <w:t>ompensation processes</w:t>
            </w:r>
          </w:p>
          <w:p w14:paraId="4DE94F06" w14:textId="0FD2C902" w:rsidR="005C121B" w:rsidRDefault="001F1353" w:rsidP="001A3952">
            <w:pPr>
              <w:pStyle w:val="TableBullet"/>
            </w:pPr>
            <w:r>
              <w:t>c</w:t>
            </w:r>
            <w:r w:rsidR="001A3952">
              <w:t>ompliance (enforcement, fine amounts)</w:t>
            </w:r>
          </w:p>
          <w:p w14:paraId="53FA906A" w14:textId="2476049B" w:rsidR="005C121B" w:rsidRDefault="001F1353" w:rsidP="001A3952">
            <w:pPr>
              <w:pStyle w:val="TableBullet"/>
            </w:pPr>
            <w:r>
              <w:t>d</w:t>
            </w:r>
            <w:r w:rsidR="001A3952">
              <w:t>estruction, disposal, decontamination</w:t>
            </w:r>
          </w:p>
          <w:p w14:paraId="29292300" w14:textId="5E9B6E98" w:rsidR="001A3952" w:rsidRDefault="001F1353" w:rsidP="001A3952">
            <w:pPr>
              <w:pStyle w:val="TableBullet"/>
            </w:pPr>
            <w:r>
              <w:t>h</w:t>
            </w:r>
            <w:r w:rsidR="001A3952">
              <w:t>ow to apply for grants</w:t>
            </w:r>
          </w:p>
          <w:p w14:paraId="2A307A4A" w14:textId="0BEEB795" w:rsidR="001A3952" w:rsidRDefault="001F1353" w:rsidP="001A3952">
            <w:pPr>
              <w:pStyle w:val="TableBullet"/>
            </w:pPr>
            <w:r>
              <w:t>h</w:t>
            </w:r>
            <w:r w:rsidR="001A3952">
              <w:t>ow to apply for permits</w:t>
            </w:r>
          </w:p>
          <w:p w14:paraId="20D020B5" w14:textId="600573FE" w:rsidR="001A3952" w:rsidRDefault="001F1353" w:rsidP="001A3952">
            <w:pPr>
              <w:pStyle w:val="TableBullet"/>
            </w:pPr>
            <w:r>
              <w:t>b</w:t>
            </w:r>
            <w:r w:rsidR="001A3952">
              <w:t>iosecurity practices</w:t>
            </w:r>
          </w:p>
          <w:p w14:paraId="6B837F97" w14:textId="4C3FBF33" w:rsidR="001A3952" w:rsidRDefault="001F1353" w:rsidP="001A3952">
            <w:pPr>
              <w:pStyle w:val="TableBullet"/>
            </w:pPr>
            <w:r>
              <w:t>r</w:t>
            </w:r>
            <w:r w:rsidR="001A3952">
              <w:t>estrictions</w:t>
            </w:r>
          </w:p>
          <w:p w14:paraId="2EC2BAC5" w14:textId="4496DEE5" w:rsidR="001A3952" w:rsidRDefault="001F1353" w:rsidP="001A3952">
            <w:pPr>
              <w:pStyle w:val="TableBullet"/>
            </w:pPr>
            <w:r>
              <w:t>s</w:t>
            </w:r>
            <w:r w:rsidR="001A3952">
              <w:t>tate and localised data</w:t>
            </w:r>
          </w:p>
          <w:p w14:paraId="7F83D53B" w14:textId="6AF1C916" w:rsidR="001A3952" w:rsidRDefault="001F1353" w:rsidP="001A3952">
            <w:pPr>
              <w:pStyle w:val="TableBullet"/>
            </w:pPr>
            <w:r>
              <w:t>s</w:t>
            </w:r>
            <w:r w:rsidR="001A3952">
              <w:t xml:space="preserve">tate authority responsibilities (who’s on </w:t>
            </w:r>
            <w:r w:rsidR="005D595C">
              <w:t xml:space="preserve">the </w:t>
            </w:r>
            <w:r w:rsidR="001A3952">
              <w:t>ground doing what)</w:t>
            </w:r>
          </w:p>
          <w:p w14:paraId="13B16D30" w14:textId="58BC3F49" w:rsidR="005C121B" w:rsidRDefault="001F1353" w:rsidP="001A3952">
            <w:pPr>
              <w:pStyle w:val="TableBullet"/>
            </w:pPr>
            <w:r>
              <w:t>s</w:t>
            </w:r>
            <w:r w:rsidR="001A3952">
              <w:t>tate borders</w:t>
            </w:r>
          </w:p>
          <w:p w14:paraId="0AD358A5" w14:textId="48D4BBBF" w:rsidR="001A3952" w:rsidRDefault="001F1353" w:rsidP="001A3952">
            <w:pPr>
              <w:pStyle w:val="TableBullet"/>
            </w:pPr>
            <w:r>
              <w:t>s</w:t>
            </w:r>
            <w:r w:rsidR="001A3952">
              <w:t>tate control measures</w:t>
            </w:r>
          </w:p>
          <w:p w14:paraId="68FC6677" w14:textId="24335B44" w:rsidR="001A3952" w:rsidRDefault="001F1353" w:rsidP="001A3952">
            <w:pPr>
              <w:pStyle w:val="TableBullet"/>
            </w:pPr>
            <w:r>
              <w:t>s</w:t>
            </w:r>
            <w:r w:rsidR="001A3952">
              <w:t>tate declarations</w:t>
            </w:r>
          </w:p>
          <w:p w14:paraId="35F3C9BC" w14:textId="6141011D" w:rsidR="001A3952" w:rsidRDefault="001F1353" w:rsidP="001A3952">
            <w:pPr>
              <w:pStyle w:val="TableBullet"/>
            </w:pPr>
            <w:r>
              <w:t>s</w:t>
            </w:r>
            <w:r w:rsidR="001A3952">
              <w:t>tate legislation</w:t>
            </w:r>
          </w:p>
          <w:p w14:paraId="648EF75A" w14:textId="15D4A555" w:rsidR="001A3952" w:rsidRDefault="001F1353" w:rsidP="001A3952">
            <w:pPr>
              <w:pStyle w:val="TableBullet"/>
            </w:pPr>
            <w:r>
              <w:t>s</w:t>
            </w:r>
            <w:r w:rsidR="001A3952">
              <w:t>tate operations</w:t>
            </w:r>
          </w:p>
          <w:p w14:paraId="478238E6" w14:textId="19D761A8" w:rsidR="001A3952" w:rsidRPr="0062271E" w:rsidRDefault="001F1353" w:rsidP="001A3952">
            <w:pPr>
              <w:pStyle w:val="TableBullet"/>
            </w:pPr>
            <w:r>
              <w:t>s</w:t>
            </w:r>
            <w:r w:rsidR="001A3952">
              <w:t>tate resourcing</w:t>
            </w:r>
          </w:p>
        </w:tc>
        <w:tc>
          <w:tcPr>
            <w:tcW w:w="3024" w:type="dxa"/>
            <w:tcMar>
              <w:left w:w="108" w:type="dxa"/>
              <w:right w:w="108" w:type="dxa"/>
            </w:tcMar>
          </w:tcPr>
          <w:p w14:paraId="7E00502C" w14:textId="47682F9A" w:rsidR="001A3952" w:rsidRDefault="001A3952" w:rsidP="001A3952">
            <w:pPr>
              <w:pStyle w:val="TableText"/>
            </w:pPr>
            <w:r>
              <w:t>Messaging about:</w:t>
            </w:r>
          </w:p>
          <w:p w14:paraId="1B9DF966" w14:textId="76CA3136" w:rsidR="001A3952" w:rsidRDefault="001F1353" w:rsidP="001A3952">
            <w:pPr>
              <w:pStyle w:val="TableBullet"/>
            </w:pPr>
            <w:r>
              <w:t>i</w:t>
            </w:r>
            <w:r w:rsidR="001A3952">
              <w:t>ndustry advice (back to governments)</w:t>
            </w:r>
          </w:p>
          <w:p w14:paraId="16758697" w14:textId="45CED3E3" w:rsidR="001A3952" w:rsidRDefault="001F1353" w:rsidP="001A3952">
            <w:pPr>
              <w:pStyle w:val="TableBullet"/>
            </w:pPr>
            <w:r>
              <w:t>i</w:t>
            </w:r>
            <w:r w:rsidR="001A3952">
              <w:t>ndustry calls to action</w:t>
            </w:r>
          </w:p>
          <w:p w14:paraId="35B8FBBD" w14:textId="2AA37B44" w:rsidR="001A3952" w:rsidRDefault="001F1353" w:rsidP="001A3952">
            <w:pPr>
              <w:pStyle w:val="TableBullet"/>
            </w:pPr>
            <w:r>
              <w:t>i</w:t>
            </w:r>
            <w:r w:rsidR="001A3952">
              <w:t>ndustry impacts</w:t>
            </w:r>
          </w:p>
          <w:p w14:paraId="149E53EF" w14:textId="4BF95FC4" w:rsidR="001A3952" w:rsidRDefault="001F1353" w:rsidP="001A3952">
            <w:pPr>
              <w:pStyle w:val="TableBullet"/>
            </w:pPr>
            <w:r>
              <w:t>i</w:t>
            </w:r>
            <w:r w:rsidR="001A3952">
              <w:t>ndustry</w:t>
            </w:r>
            <w:r>
              <w:t>-</w:t>
            </w:r>
            <w:r w:rsidR="001A3952">
              <w:t>specific biosecurity plans and practices</w:t>
            </w:r>
          </w:p>
          <w:p w14:paraId="2F92C2F1" w14:textId="38DBCAF4" w:rsidR="005C121B" w:rsidRDefault="001F1353" w:rsidP="001A3952">
            <w:pPr>
              <w:pStyle w:val="TableBullet"/>
            </w:pPr>
            <w:r>
              <w:t>i</w:t>
            </w:r>
            <w:r w:rsidR="001A3952">
              <w:t>ndustry support (assistance) (resources/financial)</w:t>
            </w:r>
          </w:p>
          <w:p w14:paraId="59E2EBB1" w14:textId="3F46D17B" w:rsidR="00B658F1" w:rsidRPr="00B16192" w:rsidRDefault="001A3952" w:rsidP="00BA6911">
            <w:pPr>
              <w:pStyle w:val="TableBullet"/>
            </w:pPr>
            <w:r>
              <w:t xml:space="preserve">impacts </w:t>
            </w:r>
            <w:r w:rsidR="001F1353">
              <w:t>on</w:t>
            </w:r>
            <w:r>
              <w:t xml:space="preserve"> the industry, for </w:t>
            </w:r>
            <w:proofErr w:type="gramStart"/>
            <w:r>
              <w:t>general public</w:t>
            </w:r>
            <w:proofErr w:type="gramEnd"/>
            <w:r>
              <w:t xml:space="preserve"> awareness</w:t>
            </w:r>
          </w:p>
        </w:tc>
      </w:tr>
    </w:tbl>
    <w:p w14:paraId="4E0102F8" w14:textId="4E829AB6" w:rsidR="00B45F57" w:rsidRDefault="006C655C" w:rsidP="006C655C">
      <w:pPr>
        <w:pStyle w:val="Heading2"/>
        <w:numPr>
          <w:ilvl w:val="0"/>
          <w:numId w:val="0"/>
        </w:numPr>
        <w:ind w:left="720" w:hanging="720"/>
      </w:pPr>
      <w:bookmarkStart w:id="25" w:name="_Toc230893542"/>
      <w:r>
        <w:lastRenderedPageBreak/>
        <w:t>Evaluation and review</w:t>
      </w:r>
      <w:bookmarkEnd w:id="25"/>
    </w:p>
    <w:p w14:paraId="67086E3B" w14:textId="705961B4" w:rsidR="006C655C" w:rsidRDefault="006C655C" w:rsidP="006C655C">
      <w:pPr>
        <w:pStyle w:val="Heading3"/>
        <w:numPr>
          <w:ilvl w:val="0"/>
          <w:numId w:val="0"/>
        </w:numPr>
        <w:ind w:left="964" w:hanging="964"/>
        <w:rPr>
          <w:lang w:eastAsia="ja-JP"/>
        </w:rPr>
      </w:pPr>
      <w:bookmarkStart w:id="26" w:name="_Toc230893543"/>
      <w:r>
        <w:rPr>
          <w:lang w:eastAsia="ja-JP"/>
        </w:rPr>
        <w:t>Incident response evaluation</w:t>
      </w:r>
      <w:bookmarkEnd w:id="26"/>
    </w:p>
    <w:p w14:paraId="743DE5F9" w14:textId="2A48AB2F" w:rsidR="006C655C" w:rsidRDefault="006C655C" w:rsidP="006C655C">
      <w:pPr>
        <w:rPr>
          <w:lang w:eastAsia="ja-JP"/>
        </w:rPr>
      </w:pPr>
      <w:r>
        <w:rPr>
          <w:lang w:eastAsia="ja-JP"/>
        </w:rPr>
        <w:t xml:space="preserve">Further information about </w:t>
      </w:r>
      <w:proofErr w:type="gramStart"/>
      <w:r w:rsidRPr="00AC7B20">
        <w:rPr>
          <w:lang w:eastAsia="ja-JP"/>
        </w:rPr>
        <w:t>debrief</w:t>
      </w:r>
      <w:proofErr w:type="gramEnd"/>
      <w:r>
        <w:rPr>
          <w:lang w:eastAsia="ja-JP"/>
        </w:rPr>
        <w:t xml:space="preserve"> and after-action reviews is in </w:t>
      </w:r>
      <w:r w:rsidRPr="00AC7B20">
        <w:rPr>
          <w:lang w:eastAsia="ja-JP"/>
        </w:rPr>
        <w:t>BIPIM Part 2</w:t>
      </w:r>
      <w:r>
        <w:rPr>
          <w:lang w:eastAsia="ja-JP"/>
        </w:rPr>
        <w:t>.</w:t>
      </w:r>
    </w:p>
    <w:p w14:paraId="05AC6C4F" w14:textId="77777777" w:rsidR="006C655C" w:rsidRDefault="006C655C" w:rsidP="006C655C">
      <w:pPr>
        <w:pStyle w:val="Heading3"/>
        <w:numPr>
          <w:ilvl w:val="0"/>
          <w:numId w:val="0"/>
        </w:numPr>
        <w:ind w:left="964" w:hanging="964"/>
        <w:rPr>
          <w:lang w:eastAsia="ja-JP"/>
        </w:rPr>
      </w:pPr>
      <w:bookmarkStart w:id="27" w:name="_Toc230893544"/>
      <w:r>
        <w:rPr>
          <w:lang w:eastAsia="ja-JP"/>
        </w:rPr>
        <w:t>Review and update of the manual</w:t>
      </w:r>
      <w:bookmarkEnd w:id="27"/>
    </w:p>
    <w:p w14:paraId="42C3C6ED" w14:textId="77F9BB35" w:rsidR="006C655C" w:rsidRDefault="006C655C" w:rsidP="006C655C">
      <w:pPr>
        <w:rPr>
          <w:lang w:eastAsia="ja-JP"/>
        </w:rPr>
      </w:pPr>
      <w:r>
        <w:rPr>
          <w:lang w:eastAsia="ja-JP"/>
        </w:rPr>
        <w:t xml:space="preserve">The BIPIM will be reviewed by NBCEN every </w:t>
      </w:r>
      <w:r w:rsidR="009100E3">
        <w:rPr>
          <w:lang w:eastAsia="ja-JP"/>
        </w:rPr>
        <w:t>2</w:t>
      </w:r>
      <w:r>
        <w:rPr>
          <w:lang w:eastAsia="ja-JP"/>
        </w:rPr>
        <w:t xml:space="preserve"> years. A NBCEN </w:t>
      </w:r>
      <w:r w:rsidR="009100E3">
        <w:rPr>
          <w:lang w:eastAsia="ja-JP"/>
        </w:rPr>
        <w:t>w</w:t>
      </w:r>
      <w:r>
        <w:rPr>
          <w:lang w:eastAsia="ja-JP"/>
        </w:rPr>
        <w:t xml:space="preserve">orking </w:t>
      </w:r>
      <w:r w:rsidR="009100E3">
        <w:rPr>
          <w:lang w:eastAsia="ja-JP"/>
        </w:rPr>
        <w:t>g</w:t>
      </w:r>
      <w:r>
        <w:rPr>
          <w:lang w:eastAsia="ja-JP"/>
        </w:rPr>
        <w:t>roup will be established to lead this work.</w:t>
      </w:r>
    </w:p>
    <w:p w14:paraId="5AA7C1DB" w14:textId="1C293058" w:rsidR="00764D6A" w:rsidRDefault="006C655C" w:rsidP="00A4508E">
      <w:pPr>
        <w:rPr>
          <w:lang w:eastAsia="ja-JP"/>
        </w:rPr>
      </w:pPr>
      <w:r>
        <w:rPr>
          <w:lang w:eastAsia="ja-JP"/>
        </w:rPr>
        <w:t>Any lessons identified coming out of a response should be recorded and integrated into the next version.</w:t>
      </w:r>
    </w:p>
    <w:sectPr w:rsidR="00764D6A">
      <w:pgSz w:w="11906" w:h="16838"/>
      <w:pgMar w:top="1418" w:right="1418" w:bottom="1418" w:left="1418"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51001" w14:textId="77777777" w:rsidR="00662D74" w:rsidRDefault="00662D74">
      <w:r>
        <w:separator/>
      </w:r>
    </w:p>
    <w:p w14:paraId="7D43C436" w14:textId="77777777" w:rsidR="00662D74" w:rsidRDefault="00662D74"/>
    <w:p w14:paraId="2BCB4142" w14:textId="77777777" w:rsidR="00662D74" w:rsidRDefault="00662D74"/>
  </w:endnote>
  <w:endnote w:type="continuationSeparator" w:id="0">
    <w:p w14:paraId="3E588BEA" w14:textId="77777777" w:rsidR="00662D74" w:rsidRDefault="00662D74">
      <w:r>
        <w:continuationSeparator/>
      </w:r>
    </w:p>
    <w:p w14:paraId="65FC6DE4" w14:textId="77777777" w:rsidR="00662D74" w:rsidRDefault="00662D74"/>
    <w:p w14:paraId="2010B486" w14:textId="77777777" w:rsidR="00662D74" w:rsidRDefault="00662D74"/>
  </w:endnote>
  <w:endnote w:type="continuationNotice" w:id="1">
    <w:p w14:paraId="22C0BFCA" w14:textId="77777777" w:rsidR="00662D74" w:rsidRDefault="00662D74" w:rsidP="00274B73">
      <w:pPr>
        <w:pStyle w:val="Footer"/>
      </w:pPr>
    </w:p>
    <w:p w14:paraId="578A75C8" w14:textId="77777777" w:rsidR="00662D74" w:rsidRDefault="00662D74"/>
    <w:p w14:paraId="75D56BD8" w14:textId="77777777" w:rsidR="00662D74" w:rsidRDefault="00662D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B96E1" w14:textId="06504A1E" w:rsidR="00CA6C9D" w:rsidRDefault="00E6099E" w:rsidP="00274B73">
    <w:pPr>
      <w:pStyle w:val="Footer"/>
    </w:pPr>
    <w:r>
      <w:rPr>
        <w:noProof/>
      </w:rPr>
      <mc:AlternateContent>
        <mc:Choice Requires="wps">
          <w:drawing>
            <wp:anchor distT="0" distB="0" distL="0" distR="0" simplePos="0" relativeHeight="251657728" behindDoc="0" locked="0" layoutInCell="1" allowOverlap="1" wp14:anchorId="513803F7" wp14:editId="73DDBB9D">
              <wp:simplePos x="635" y="635"/>
              <wp:positionH relativeFrom="page">
                <wp:align>center</wp:align>
              </wp:positionH>
              <wp:positionV relativeFrom="page">
                <wp:align>bottom</wp:align>
              </wp:positionV>
              <wp:extent cx="686435" cy="391795"/>
              <wp:effectExtent l="0" t="0" r="18415" b="0"/>
              <wp:wrapNone/>
              <wp:docPr id="505631134"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14:paraId="3F4AD632" w14:textId="35080538" w:rsidR="00E6099E" w:rsidRPr="00E6099E" w:rsidRDefault="00E6099E" w:rsidP="00E6099E">
                          <w:pPr>
                            <w:spacing w:after="0"/>
                            <w:rPr>
                              <w:rFonts w:ascii="Arial" w:eastAsia="Arial" w:hAnsi="Arial" w:cs="Arial"/>
                              <w:noProof/>
                              <w:color w:val="A80000"/>
                              <w:sz w:val="24"/>
                              <w:szCs w:val="24"/>
                            </w:rPr>
                          </w:pPr>
                          <w:r w:rsidRPr="00E6099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3803F7" id="_x0000_t202" coordsize="21600,21600" o:spt="202" path="m,l,21600r21600,l21600,xe">
              <v:stroke joinstyle="miter"/>
              <v:path gradientshapeok="t" o:connecttype="rect"/>
            </v:shapetype>
            <v:shape id="Text Box 11" o:spid="_x0000_s1027" type="#_x0000_t202" alt="OFFICIAL " style="position:absolute;left:0;text-align:left;margin-left:0;margin-top:0;width:54.05pt;height:30.8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9bfDgIAABwEAAAOAAAAZHJzL2Uyb0RvYy54bWysU8Fu2zAMvQ/oPwi6L3baJWuMOEXaIsOA&#10;oC2QDj0rshQbkERBUmJnXz9KjpOu22nYRaZJ6pF8fJrfdVqRg3C+AVPS8SinRBgOVWN2Jf3xuvp8&#10;S4kPzFRMgRElPQpP7xZXn+atLcQ11KAq4QiCGF+0tqR1CLbIMs9roZkfgRUGgxKcZgF/3S6rHGsR&#10;XavsOs+nWQuusg648B69j32QLhK+lIKHZym9CESVFHsL6XTp3MYzW8xZsXPM1g0/tcH+oQvNGoNF&#10;z1CPLDCyd80fULrhDjzIMOKgM5Cy4SLNgNOM8w/TbGpmRZoFyfH2TJP/f7D86bCxL46E7h46XGAk&#10;pLW+8OiM83TS6fjFTgnGkcLjmTbRBcLROb2dfrmZUMIxdDMbf51NIkp2uWydD98EaBKNkjrcSiKL&#10;HdY+9KlDSqxlYNUolTajzG8OxIye7NJhtEK37UhTvet+C9URh3LQ79tbvmqw9Jr58MIcLhjnQNGG&#10;ZzykgrakcLIoqcH9/Js/5iPvGKWkRcGU1KCiKVHfDe4jamsw3GBskzGe5ZMc42avHwBlOMYXYXky&#10;0euCGkzpQL+hnJexEIaY4ViupNvBfAi9cvE5cLFcpiSUkWVhbTaWR+hIV+TytXtjzp4ID7ipJxjU&#10;xIoPvPe58aa3y31A9tNSIrU9kSfGUYJprafnEjX+/j9lXR714hcAAAD//wMAUEsDBBQABgAIAAAA&#10;IQCNZsGp2wAAAAQBAAAPAAAAZHJzL2Rvd25yZXYueG1sTI9Ba8JAEIXvBf/DMkJvdROlVtJsRISe&#10;lILaS2/j7pikZmdDdqPx37v20l4GHu/x3jf5crCNuFDna8cK0kkCglg7U3Op4Ovw8bIA4QOywcYx&#10;KbiRh2UxesoxM+7KO7rsQyliCfsMFVQhtJmUXldk0U9cSxy9k+sshii7UpoOr7HcNnKaJHNpsea4&#10;UGFL64r0ed9bBa+7sO0/+TD7Hqa3n0271rPTRiv1PB5W7yACDeEvDA/8iA5FZDq6no0XjYL4SPi9&#10;Dy9ZpCCOCubpG8gil//hizsAAAD//wMAUEsBAi0AFAAGAAgAAAAhALaDOJL+AAAA4QEAABMAAAAA&#10;AAAAAAAAAAAAAAAAAFtDb250ZW50X1R5cGVzXS54bWxQSwECLQAUAAYACAAAACEAOP0h/9YAAACU&#10;AQAACwAAAAAAAAAAAAAAAAAvAQAAX3JlbHMvLnJlbHNQSwECLQAUAAYACAAAACEAp+/W3w4CAAAc&#10;BAAADgAAAAAAAAAAAAAAAAAuAgAAZHJzL2Uyb0RvYy54bWxQSwECLQAUAAYACAAAACEAjWbBqdsA&#10;AAAEAQAADwAAAAAAAAAAAAAAAABoBAAAZHJzL2Rvd25yZXYueG1sUEsFBgAAAAAEAAQA8wAAAHAF&#10;AAAAAA==&#10;" filled="f" stroked="f">
              <v:textbox style="mso-fit-shape-to-text:t" inset="0,0,0,15pt">
                <w:txbxContent>
                  <w:p w14:paraId="3F4AD632" w14:textId="35080538" w:rsidR="00E6099E" w:rsidRPr="00E6099E" w:rsidRDefault="00E6099E" w:rsidP="00E6099E">
                    <w:pPr>
                      <w:spacing w:after="0"/>
                      <w:rPr>
                        <w:rFonts w:ascii="Arial" w:eastAsia="Arial" w:hAnsi="Arial" w:cs="Arial"/>
                        <w:noProof/>
                        <w:color w:val="A80000"/>
                        <w:sz w:val="24"/>
                        <w:szCs w:val="24"/>
                      </w:rPr>
                    </w:pPr>
                    <w:r w:rsidRPr="00E6099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7BE14" w14:textId="7B37CDC1" w:rsidR="00B861B4" w:rsidRDefault="007530C8" w:rsidP="00274B73">
    <w:pPr>
      <w:pStyle w:val="Footer"/>
    </w:pPr>
    <w:r>
      <w:t>National Biosecurity Communication and Engagement Network</w:t>
    </w:r>
    <w:r w:rsidR="00493F3C">
      <w:tab/>
    </w:r>
    <w:r w:rsidR="00B861B4">
      <w:fldChar w:fldCharType="begin"/>
    </w:r>
    <w:r w:rsidR="00B861B4">
      <w:instrText xml:space="preserve"> PAGE   \* MERGEFORMAT </w:instrText>
    </w:r>
    <w:r w:rsidR="00B861B4">
      <w:fldChar w:fldCharType="separate"/>
    </w:r>
    <w:r w:rsidR="005E25BD">
      <w:rPr>
        <w:noProof/>
      </w:rPr>
      <w:t>12</w:t>
    </w:r>
    <w:r w:rsidR="00B861B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EBF1F" w14:textId="77777777" w:rsidR="00662D74" w:rsidRDefault="00662D74">
      <w:r>
        <w:separator/>
      </w:r>
    </w:p>
    <w:p w14:paraId="1E96C0D6" w14:textId="77777777" w:rsidR="00662D74" w:rsidRDefault="00662D74"/>
    <w:p w14:paraId="18708A8A" w14:textId="77777777" w:rsidR="00662D74" w:rsidRDefault="00662D74"/>
  </w:footnote>
  <w:footnote w:type="continuationSeparator" w:id="0">
    <w:p w14:paraId="2AD6DC15" w14:textId="77777777" w:rsidR="00662D74" w:rsidRDefault="00662D74">
      <w:r>
        <w:continuationSeparator/>
      </w:r>
    </w:p>
    <w:p w14:paraId="0FC5D418" w14:textId="77777777" w:rsidR="00662D74" w:rsidRDefault="00662D74"/>
    <w:p w14:paraId="3366549E" w14:textId="77777777" w:rsidR="00662D74" w:rsidRDefault="00662D74"/>
  </w:footnote>
  <w:footnote w:type="continuationNotice" w:id="1">
    <w:p w14:paraId="73E6D5AE" w14:textId="77777777" w:rsidR="00662D74" w:rsidRDefault="00662D74" w:rsidP="00274B73">
      <w:pPr>
        <w:pStyle w:val="Footer"/>
      </w:pPr>
    </w:p>
    <w:p w14:paraId="79A05889" w14:textId="77777777" w:rsidR="00662D74" w:rsidRDefault="00662D74"/>
    <w:p w14:paraId="1771885E" w14:textId="77777777" w:rsidR="00662D74" w:rsidRDefault="00662D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4FAB6" w14:textId="5D2237BE" w:rsidR="00B861B4" w:rsidRDefault="00E6099E">
    <w:pPr>
      <w:pStyle w:val="Header"/>
    </w:pPr>
    <w:r>
      <w:rPr>
        <w:noProof/>
        <w:lang w:val="en-US"/>
      </w:rPr>
      <mc:AlternateContent>
        <mc:Choice Requires="wps">
          <w:drawing>
            <wp:anchor distT="0" distB="0" distL="0" distR="0" simplePos="0" relativeHeight="251656704" behindDoc="0" locked="0" layoutInCell="1" allowOverlap="1" wp14:anchorId="04C15FD9" wp14:editId="580B43AF">
              <wp:simplePos x="635" y="635"/>
              <wp:positionH relativeFrom="page">
                <wp:align>center</wp:align>
              </wp:positionH>
              <wp:positionV relativeFrom="page">
                <wp:align>top</wp:align>
              </wp:positionV>
              <wp:extent cx="686435" cy="391795"/>
              <wp:effectExtent l="0" t="0" r="18415" b="8255"/>
              <wp:wrapNone/>
              <wp:docPr id="191987764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14:paraId="12FD1E28" w14:textId="137A9995" w:rsidR="00E6099E" w:rsidRPr="00E6099E" w:rsidRDefault="00E6099E" w:rsidP="00E6099E">
                          <w:pPr>
                            <w:spacing w:after="0"/>
                            <w:rPr>
                              <w:rFonts w:ascii="Arial" w:eastAsia="Arial" w:hAnsi="Arial" w:cs="Arial"/>
                              <w:noProof/>
                              <w:color w:val="A80000"/>
                              <w:sz w:val="24"/>
                              <w:szCs w:val="24"/>
                            </w:rPr>
                          </w:pPr>
                          <w:r w:rsidRPr="00E6099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C15FD9" id="_x0000_t202" coordsize="21600,21600" o:spt="202" path="m,l,21600r21600,l21600,xe">
              <v:stroke joinstyle="miter"/>
              <v:path gradientshapeok="t" o:connecttype="rect"/>
            </v:shapetype>
            <v:shape id="Text Box 8" o:spid="_x0000_s1026" type="#_x0000_t202" alt="OFFICIAL" style="position:absolute;left:0;text-align:left;margin-left:0;margin-top:0;width:54.05pt;height:30.85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tr4CwIAABUEAAAOAAAAZHJzL2Uyb0RvYy54bWysU8Fu2zAMvQ/YPwi6L3baJWuMOEXWIsOA&#10;oi2QDj0rshQbkERBUmJnXz9KtpOu22nYRaZI+pF8fFredlqRo3C+AVPS6SSnRBgOVWP2Jf3xsvl0&#10;Q4kPzFRMgRElPQlPb1cfPyxbW4grqEFVwhEEMb5obUnrEGyRZZ7XQjM/ASsMBiU4zQJe3T6rHGsR&#10;XavsKs/nWQuusg648B69932QrhK+lIKHJym9CESVFHsL6XTp3MUzWy1ZsXfM1g0f2mD/0IVmjcGi&#10;Z6h7Fhg5uOYPKN1wBx5kmHDQGUjZcJFmwGmm+btptjWzIs2C5Hh7psn/P1j+eNzaZ0dC9xU6XGAk&#10;pLW+8OiM83TS6fjFTgnGkcLTmTbRBcLROb+Zf76eUcIxdL2YflnMIkp2+dk6H74J0CQaJXW4lUQW&#10;Oz740KeOKbGWgU2jVNqMMr85EDN6skuH0Qrdrhva3kF1wmkc9Iv2lm8arPnAfHhmDjeLA6BawxMe&#10;UkFbUhgsSmpwP//mj/lIOEYpaVEpJTUoZUrUd4OLiKJKxnSRz3K8udG9Gw1z0HeA+pviU7A8mTEv&#10;qNGUDvQr6ngdC2GIGY7lShpG8y70ksV3wMV6nZJQP5aFB7O1PEJHniKJL90rc3ZgOuCKHmGUESve&#10;Ed7nxj+9XR8C0p62ETntiRyoRu2lfQ7vJIr77T1lXV7z6hcAAAD//wMAUEsDBBQABgAIAAAAIQC8&#10;CX2Q2gAAAAQBAAAPAAAAZHJzL2Rvd25yZXYueG1sTI/NbsIwEITvlfoO1lbqrTiuBEVpNghV4sCN&#10;0p+ziZckNN6NYgMpT1/TS3tZaTSjmW+Lxeg7daIhtMIIZpKBIq7EtVwjvL+tHuagQrTsbCdMCN8U&#10;YFHe3hQ2d3LmVzptY61SCYfcIjQx9rnWoWrI2zCRnjh5exm8jUkOtXaDPady3+nHLJtpb1tOC43t&#10;6aWh6mt79AjtdCnR0Md6dfj0Rsxls55eNoj3d+PyGVSkMf6F4Yqf0KFMTDs5sguqQ0iPxN979bK5&#10;AbVDmJkn0GWh/8OXPwAAAP//AwBQSwECLQAUAAYACAAAACEAtoM4kv4AAADhAQAAEwAAAAAAAAAA&#10;AAAAAAAAAAAAW0NvbnRlbnRfVHlwZXNdLnhtbFBLAQItABQABgAIAAAAIQA4/SH/1gAAAJQBAAAL&#10;AAAAAAAAAAAAAAAAAC8BAABfcmVscy8ucmVsc1BLAQItABQABgAIAAAAIQCMotr4CwIAABUEAAAO&#10;AAAAAAAAAAAAAAAAAC4CAABkcnMvZTJvRG9jLnhtbFBLAQItABQABgAIAAAAIQC8CX2Q2gAAAAQB&#10;AAAPAAAAAAAAAAAAAAAAAGUEAABkcnMvZG93bnJldi54bWxQSwUGAAAAAAQABADzAAAAbAUAAAAA&#10;" filled="f" stroked="f">
              <v:textbox style="mso-fit-shape-to-text:t" inset="0,15pt,0,0">
                <w:txbxContent>
                  <w:p w14:paraId="12FD1E28" w14:textId="137A9995" w:rsidR="00E6099E" w:rsidRPr="00E6099E" w:rsidRDefault="00E6099E" w:rsidP="00E6099E">
                    <w:pPr>
                      <w:spacing w:after="0"/>
                      <w:rPr>
                        <w:rFonts w:ascii="Arial" w:eastAsia="Arial" w:hAnsi="Arial" w:cs="Arial"/>
                        <w:noProof/>
                        <w:color w:val="A80000"/>
                        <w:sz w:val="24"/>
                        <w:szCs w:val="24"/>
                      </w:rPr>
                    </w:pPr>
                    <w:r w:rsidRPr="00E6099E">
                      <w:rPr>
                        <w:rFonts w:ascii="Arial" w:eastAsia="Arial" w:hAnsi="Arial" w:cs="Arial"/>
                        <w:noProof/>
                        <w:color w:val="A80000"/>
                        <w:sz w:val="24"/>
                        <w:szCs w:val="24"/>
                      </w:rPr>
                      <w:t>OFFICIAL</w:t>
                    </w:r>
                  </w:p>
                </w:txbxContent>
              </v:textbox>
              <w10:wrap anchorx="page" anchory="page"/>
            </v:shape>
          </w:pict>
        </mc:Fallback>
      </mc:AlternateContent>
    </w:r>
    <w:r w:rsidR="00662D74">
      <w:rPr>
        <w:noProof/>
        <w:lang w:val="en-US"/>
      </w:rPr>
      <w:pict w14:anchorId="73B47D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35351" o:spid="_x0000_s1025" type="#_x0000_t136" alt="" style="position:absolute;left:0;text-align:left;margin-left:0;margin-top:0;width:548.05pt;height:91.3pt;rotation:315;z-index:-251657728;mso-wrap-edited:f;mso-width-percent:0;mso-height-percent:0;mso-position-horizontal:center;mso-position-horizontal-relative:margin;mso-position-vertical:center;mso-position-vertical-relative:margin;mso-width-percent:0;mso-height-percent:0" o:allowincell="f" fillcolor="gray" stroked="f">
          <v:fill opacity=".5"/>
          <v:textpath style="font-family:&quot;Cambria&quot;;font-size:1pt" string="EXAMPL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A0409" w14:textId="652FEDF6" w:rsidR="00B861B4" w:rsidRDefault="00742F2A">
    <w:pPr>
      <w:pStyle w:val="Header"/>
    </w:pPr>
    <w:r>
      <w:t>BIP</w:t>
    </w:r>
    <w:r w:rsidR="009478A9">
      <w:t>I</w:t>
    </w:r>
    <w:r>
      <w:t>M Part 1</w:t>
    </w:r>
    <w:r w:rsidR="00AC7B20">
      <w:t xml:space="preserve"> –</w:t>
    </w:r>
    <w:r>
      <w:t xml:space="preserve"> Public </w:t>
    </w:r>
    <w:r w:rsidR="00246FB8">
      <w:t>i</w:t>
    </w:r>
    <w:r>
      <w:t xml:space="preserve">nformation </w:t>
    </w:r>
    <w:r w:rsidR="00246FB8">
      <w:t>p</w:t>
    </w:r>
    <w:r>
      <w:t>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B04CA8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8913EA"/>
    <w:multiLevelType w:val="multilevel"/>
    <w:tmpl w:val="52ACE130"/>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4876959"/>
    <w:multiLevelType w:val="hybridMultilevel"/>
    <w:tmpl w:val="72D4C2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056DAA"/>
    <w:multiLevelType w:val="hybridMultilevel"/>
    <w:tmpl w:val="470619EE"/>
    <w:lvl w:ilvl="0" w:tplc="E528DA04">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156D38DA"/>
    <w:multiLevelType w:val="hybridMultilevel"/>
    <w:tmpl w:val="79321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585F9A"/>
    <w:multiLevelType w:val="hybridMultilevel"/>
    <w:tmpl w:val="D2F49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E20078"/>
    <w:multiLevelType w:val="multilevel"/>
    <w:tmpl w:val="32E6FFFA"/>
    <w:styleLink w:val="Headinglist"/>
    <w:lvl w:ilvl="0">
      <w:start w:val="1"/>
      <w:numFmt w:val="decimal"/>
      <w:pStyle w:val="Heading2"/>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964" w:hanging="964"/>
      </w:pPr>
      <w:rPr>
        <w:rFonts w:hint="default"/>
      </w:rPr>
    </w:lvl>
    <w:lvl w:ilvl="2">
      <w:start w:val="1"/>
      <w:numFmt w:val="decimal"/>
      <w:pStyle w:val="Heading4"/>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5057592"/>
    <w:multiLevelType w:val="hybridMultilevel"/>
    <w:tmpl w:val="759A2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203CA4"/>
    <w:multiLevelType w:val="hybridMultilevel"/>
    <w:tmpl w:val="62BE6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C0417EE"/>
    <w:multiLevelType w:val="hybridMultilevel"/>
    <w:tmpl w:val="9B6AA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86800B4"/>
    <w:multiLevelType w:val="multilevel"/>
    <w:tmpl w:val="A0241B28"/>
    <w:numStyleLink w:val="List1"/>
  </w:abstractNum>
  <w:abstractNum w:abstractNumId="11" w15:restartNumberingAfterBreak="0">
    <w:nsid w:val="48DE2E4A"/>
    <w:multiLevelType w:val="hybridMultilevel"/>
    <w:tmpl w:val="F70063AC"/>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12"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8B541B"/>
    <w:multiLevelType w:val="multilevel"/>
    <w:tmpl w:val="9710C79C"/>
    <w:lvl w:ilvl="0">
      <w:start w:val="1"/>
      <w:numFmt w:val="bullet"/>
      <w:pStyle w:val="Table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5" w15:restartNumberingAfterBreak="0">
    <w:nsid w:val="5B8F3B04"/>
    <w:multiLevelType w:val="multilevel"/>
    <w:tmpl w:val="BE78A4F8"/>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6" w15:restartNumberingAfterBreak="0">
    <w:nsid w:val="676E3536"/>
    <w:multiLevelType w:val="hybridMultilevel"/>
    <w:tmpl w:val="242AD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79C66D6"/>
    <w:multiLevelType w:val="hybridMultilevel"/>
    <w:tmpl w:val="BC22D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81057155">
    <w:abstractNumId w:val="14"/>
  </w:num>
  <w:num w:numId="2" w16cid:durableId="1639215797">
    <w:abstractNumId w:val="15"/>
  </w:num>
  <w:num w:numId="3" w16cid:durableId="1643265712">
    <w:abstractNumId w:val="6"/>
  </w:num>
  <w:num w:numId="4" w16cid:durableId="626202022">
    <w:abstractNumId w:val="12"/>
  </w:num>
  <w:num w:numId="5" w16cid:durableId="1385720017">
    <w:abstractNumId w:val="18"/>
  </w:num>
  <w:num w:numId="6" w16cid:durableId="1073968715">
    <w:abstractNumId w:val="11"/>
  </w:num>
  <w:num w:numId="7" w16cid:durableId="170992729">
    <w:abstractNumId w:val="1"/>
  </w:num>
  <w:num w:numId="8" w16cid:durableId="312831593">
    <w:abstractNumId w:val="6"/>
  </w:num>
  <w:num w:numId="9" w16cid:durableId="1194031772">
    <w:abstractNumId w:val="14"/>
  </w:num>
  <w:num w:numId="10" w16cid:durableId="180166812">
    <w:abstractNumId w:val="15"/>
  </w:num>
  <w:num w:numId="11" w16cid:durableId="983778089">
    <w:abstractNumId w:val="13"/>
  </w:num>
  <w:num w:numId="12" w16cid:durableId="598217509">
    <w:abstractNumId w:val="3"/>
  </w:num>
  <w:num w:numId="13" w16cid:durableId="1166048663">
    <w:abstractNumId w:val="18"/>
  </w:num>
  <w:num w:numId="14" w16cid:durableId="15689503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4908900">
    <w:abstractNumId w:val="6"/>
    <w:lvlOverride w:ilvl="0">
      <w:lvl w:ilvl="0">
        <w:start w:val="1"/>
        <w:numFmt w:val="decimal"/>
        <w:pStyle w:val="Heading2"/>
        <w:lvlText w:val="%1"/>
        <w:lvlJc w:val="left"/>
        <w:pPr>
          <w:ind w:left="720" w:hanging="720"/>
        </w:pPr>
        <w:rPr>
          <w:color w:val="auto"/>
        </w:rPr>
      </w:lvl>
    </w:lvlOverride>
  </w:num>
  <w:num w:numId="16" w16cid:durableId="435951209">
    <w:abstractNumId w:val="16"/>
  </w:num>
  <w:num w:numId="17" w16cid:durableId="1361395064">
    <w:abstractNumId w:val="17"/>
  </w:num>
  <w:num w:numId="18" w16cid:durableId="7741777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268399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76694110">
    <w:abstractNumId w:val="0"/>
  </w:num>
  <w:num w:numId="21" w16cid:durableId="10759967">
    <w:abstractNumId w:val="19"/>
  </w:num>
  <w:num w:numId="22" w16cid:durableId="1396391657">
    <w:abstractNumId w:val="7"/>
  </w:num>
  <w:num w:numId="23" w16cid:durableId="1749771360">
    <w:abstractNumId w:val="2"/>
  </w:num>
  <w:num w:numId="24" w16cid:durableId="255939130">
    <w:abstractNumId w:val="9"/>
  </w:num>
  <w:num w:numId="25" w16cid:durableId="352726559">
    <w:abstractNumId w:val="5"/>
  </w:num>
  <w:num w:numId="26" w16cid:durableId="225800803">
    <w:abstractNumId w:val="4"/>
  </w:num>
  <w:num w:numId="27" w16cid:durableId="1112440647">
    <w:abstractNumId w:val="8"/>
  </w:num>
  <w:num w:numId="28" w16cid:durableId="551380499">
    <w:abstractNumId w:val="6"/>
    <w:lvlOverride w:ilvl="0">
      <w:lvl w:ilvl="0">
        <w:start w:val="1"/>
        <w:numFmt w:val="decimal"/>
        <w:pStyle w:val="Heading2"/>
        <w:lvlText w:val="%1"/>
        <w:lvlJc w:val="left"/>
        <w:pPr>
          <w:ind w:left="720" w:hanging="720"/>
        </w:pPr>
        <w:rPr>
          <w:color w:val="auto"/>
        </w:rPr>
      </w:lvl>
    </w:lvlOverride>
  </w:num>
  <w:num w:numId="29" w16cid:durableId="454832589">
    <w:abstractNumId w:val="6"/>
    <w:lvlOverride w:ilvl="0">
      <w:lvl w:ilvl="0">
        <w:start w:val="1"/>
        <w:numFmt w:val="decimal"/>
        <w:pStyle w:val="Heading2"/>
        <w:lvlText w:val="%1"/>
        <w:lvlJc w:val="left"/>
        <w:pPr>
          <w:ind w:left="720" w:hanging="720"/>
        </w:pPr>
        <w:rPr>
          <w:color w:val="auto"/>
        </w:rPr>
      </w:lvl>
    </w:lvlOverride>
  </w:num>
  <w:num w:numId="30" w16cid:durableId="185217575">
    <w:abstractNumId w:val="6"/>
    <w:lvlOverride w:ilvl="0">
      <w:lvl w:ilvl="0">
        <w:start w:val="1"/>
        <w:numFmt w:val="decimal"/>
        <w:pStyle w:val="Heading2"/>
        <w:lvlText w:val="%1"/>
        <w:lvlJc w:val="left"/>
        <w:pPr>
          <w:ind w:left="720" w:hanging="720"/>
        </w:pPr>
        <w:rPr>
          <w:color w:val="auto"/>
        </w:rPr>
      </w:lvl>
    </w:lvlOverride>
  </w:num>
  <w:num w:numId="31" w16cid:durableId="1758987225">
    <w:abstractNumId w:val="6"/>
    <w:lvlOverride w:ilvl="0">
      <w:lvl w:ilvl="0">
        <w:start w:val="1"/>
        <w:numFmt w:val="decimal"/>
        <w:pStyle w:val="Heading2"/>
        <w:lvlText w:val="%1"/>
        <w:lvlJc w:val="left"/>
        <w:pPr>
          <w:ind w:left="720" w:hanging="720"/>
        </w:pPr>
        <w:rPr>
          <w:color w:val="auto"/>
        </w:rPr>
      </w:lvl>
    </w:lvlOverride>
  </w:num>
  <w:num w:numId="32" w16cid:durableId="1241869181">
    <w:abstractNumId w:val="6"/>
    <w:lvlOverride w:ilvl="0">
      <w:lvl w:ilvl="0">
        <w:start w:val="1"/>
        <w:numFmt w:val="decimal"/>
        <w:pStyle w:val="Heading2"/>
        <w:lvlText w:val="%1"/>
        <w:lvlJc w:val="left"/>
        <w:pPr>
          <w:ind w:left="720" w:hanging="720"/>
        </w:pPr>
        <w:rPr>
          <w:color w:val="auto"/>
        </w:rPr>
      </w:lvl>
    </w:lvlOverride>
  </w:num>
  <w:num w:numId="33" w16cid:durableId="874267215">
    <w:abstractNumId w:val="6"/>
    <w:lvlOverride w:ilvl="0">
      <w:lvl w:ilvl="0">
        <w:start w:val="1"/>
        <w:numFmt w:val="decimal"/>
        <w:pStyle w:val="Heading2"/>
        <w:lvlText w:val="%1"/>
        <w:lvlJc w:val="left"/>
        <w:pPr>
          <w:ind w:left="720" w:hanging="720"/>
        </w:pPr>
        <w:rPr>
          <w:color w:val="auto"/>
        </w:rPr>
      </w:lvl>
    </w:lvlOverride>
  </w:num>
  <w:num w:numId="34" w16cid:durableId="28653361">
    <w:abstractNumId w:val="6"/>
    <w:lvlOverride w:ilvl="0">
      <w:lvl w:ilvl="0">
        <w:start w:val="1"/>
        <w:numFmt w:val="decimal"/>
        <w:pStyle w:val="Heading2"/>
        <w:lvlText w:val="%1"/>
        <w:lvlJc w:val="left"/>
        <w:pPr>
          <w:ind w:left="720" w:hanging="720"/>
        </w:pPr>
        <w:rPr>
          <w:color w:val="auto"/>
        </w:rPr>
      </w:lvl>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3B7"/>
    <w:rsid w:val="000003A8"/>
    <w:rsid w:val="000032AD"/>
    <w:rsid w:val="00006D71"/>
    <w:rsid w:val="000173B2"/>
    <w:rsid w:val="00020A45"/>
    <w:rsid w:val="00022B49"/>
    <w:rsid w:val="00024341"/>
    <w:rsid w:val="00027E86"/>
    <w:rsid w:val="00032682"/>
    <w:rsid w:val="00032789"/>
    <w:rsid w:val="00032BD1"/>
    <w:rsid w:val="00033E60"/>
    <w:rsid w:val="00034418"/>
    <w:rsid w:val="000345E4"/>
    <w:rsid w:val="0003529E"/>
    <w:rsid w:val="000373C5"/>
    <w:rsid w:val="00043D85"/>
    <w:rsid w:val="00047828"/>
    <w:rsid w:val="000542FF"/>
    <w:rsid w:val="00055190"/>
    <w:rsid w:val="00063D83"/>
    <w:rsid w:val="00070A7B"/>
    <w:rsid w:val="00071927"/>
    <w:rsid w:val="00074B8B"/>
    <w:rsid w:val="0007641E"/>
    <w:rsid w:val="00083DEA"/>
    <w:rsid w:val="0008563B"/>
    <w:rsid w:val="000869AB"/>
    <w:rsid w:val="00087BE7"/>
    <w:rsid w:val="0009186B"/>
    <w:rsid w:val="000942EE"/>
    <w:rsid w:val="00097FA8"/>
    <w:rsid w:val="000A0E88"/>
    <w:rsid w:val="000A1447"/>
    <w:rsid w:val="000A5170"/>
    <w:rsid w:val="000A7AAF"/>
    <w:rsid w:val="000B5FA0"/>
    <w:rsid w:val="000C0F45"/>
    <w:rsid w:val="000C29ED"/>
    <w:rsid w:val="000E20A6"/>
    <w:rsid w:val="000E3C0F"/>
    <w:rsid w:val="000E752A"/>
    <w:rsid w:val="000F2902"/>
    <w:rsid w:val="001013AD"/>
    <w:rsid w:val="001116C3"/>
    <w:rsid w:val="00117295"/>
    <w:rsid w:val="00124195"/>
    <w:rsid w:val="001308D8"/>
    <w:rsid w:val="0013191B"/>
    <w:rsid w:val="00133EC6"/>
    <w:rsid w:val="00134210"/>
    <w:rsid w:val="00140261"/>
    <w:rsid w:val="00143A0D"/>
    <w:rsid w:val="00143BE1"/>
    <w:rsid w:val="0015123F"/>
    <w:rsid w:val="00157BDE"/>
    <w:rsid w:val="0016201B"/>
    <w:rsid w:val="001641A3"/>
    <w:rsid w:val="001643CE"/>
    <w:rsid w:val="00166804"/>
    <w:rsid w:val="001728AE"/>
    <w:rsid w:val="00174F57"/>
    <w:rsid w:val="00176594"/>
    <w:rsid w:val="0017699C"/>
    <w:rsid w:val="00176B25"/>
    <w:rsid w:val="001868A1"/>
    <w:rsid w:val="001956A7"/>
    <w:rsid w:val="001A1CEC"/>
    <w:rsid w:val="001A3952"/>
    <w:rsid w:val="001A480C"/>
    <w:rsid w:val="001B62D1"/>
    <w:rsid w:val="001B69E5"/>
    <w:rsid w:val="001C1865"/>
    <w:rsid w:val="001C3457"/>
    <w:rsid w:val="001C5404"/>
    <w:rsid w:val="001C782B"/>
    <w:rsid w:val="001D7F8F"/>
    <w:rsid w:val="001E39DE"/>
    <w:rsid w:val="001E50A9"/>
    <w:rsid w:val="001E5730"/>
    <w:rsid w:val="001E6521"/>
    <w:rsid w:val="001F1353"/>
    <w:rsid w:val="001F73AF"/>
    <w:rsid w:val="002036A8"/>
    <w:rsid w:val="0020624F"/>
    <w:rsid w:val="002110AC"/>
    <w:rsid w:val="00215CF0"/>
    <w:rsid w:val="0021649B"/>
    <w:rsid w:val="00216882"/>
    <w:rsid w:val="00217AEE"/>
    <w:rsid w:val="00221806"/>
    <w:rsid w:val="00222137"/>
    <w:rsid w:val="00232F52"/>
    <w:rsid w:val="00234CCC"/>
    <w:rsid w:val="002418C3"/>
    <w:rsid w:val="00246FB8"/>
    <w:rsid w:val="00250DAC"/>
    <w:rsid w:val="00254B8C"/>
    <w:rsid w:val="00260312"/>
    <w:rsid w:val="00263CB6"/>
    <w:rsid w:val="002643C9"/>
    <w:rsid w:val="00265A2D"/>
    <w:rsid w:val="00266B5E"/>
    <w:rsid w:val="00266C5A"/>
    <w:rsid w:val="0027451B"/>
    <w:rsid w:val="00274B73"/>
    <w:rsid w:val="00274FFC"/>
    <w:rsid w:val="00275281"/>
    <w:rsid w:val="00281BB6"/>
    <w:rsid w:val="00284C5A"/>
    <w:rsid w:val="00284D14"/>
    <w:rsid w:val="00286307"/>
    <w:rsid w:val="00286E41"/>
    <w:rsid w:val="00287641"/>
    <w:rsid w:val="00295D88"/>
    <w:rsid w:val="002A669A"/>
    <w:rsid w:val="002B225E"/>
    <w:rsid w:val="002B382C"/>
    <w:rsid w:val="002C2571"/>
    <w:rsid w:val="002C30E6"/>
    <w:rsid w:val="002D12F6"/>
    <w:rsid w:val="002D1DFB"/>
    <w:rsid w:val="002D4BDA"/>
    <w:rsid w:val="002D5B0A"/>
    <w:rsid w:val="002D5F70"/>
    <w:rsid w:val="002D67C2"/>
    <w:rsid w:val="002E0E15"/>
    <w:rsid w:val="002E6038"/>
    <w:rsid w:val="002F1457"/>
    <w:rsid w:val="002F46E4"/>
    <w:rsid w:val="00300491"/>
    <w:rsid w:val="00300BB6"/>
    <w:rsid w:val="003024BD"/>
    <w:rsid w:val="00304AB4"/>
    <w:rsid w:val="003110F5"/>
    <w:rsid w:val="003113F3"/>
    <w:rsid w:val="00317765"/>
    <w:rsid w:val="003212E4"/>
    <w:rsid w:val="003214B3"/>
    <w:rsid w:val="00324761"/>
    <w:rsid w:val="00324BD0"/>
    <w:rsid w:val="003266AF"/>
    <w:rsid w:val="00332F8E"/>
    <w:rsid w:val="00341111"/>
    <w:rsid w:val="003411C5"/>
    <w:rsid w:val="0034186D"/>
    <w:rsid w:val="00350D80"/>
    <w:rsid w:val="0035187F"/>
    <w:rsid w:val="003537AD"/>
    <w:rsid w:val="00354C6A"/>
    <w:rsid w:val="003552E4"/>
    <w:rsid w:val="00360039"/>
    <w:rsid w:val="003641D7"/>
    <w:rsid w:val="00364A4A"/>
    <w:rsid w:val="00365191"/>
    <w:rsid w:val="003654AC"/>
    <w:rsid w:val="00365D5E"/>
    <w:rsid w:val="0037073B"/>
    <w:rsid w:val="00372FBE"/>
    <w:rsid w:val="00395407"/>
    <w:rsid w:val="003A0971"/>
    <w:rsid w:val="003A5B78"/>
    <w:rsid w:val="003A6F9D"/>
    <w:rsid w:val="003B1E29"/>
    <w:rsid w:val="003C192E"/>
    <w:rsid w:val="003C1FCE"/>
    <w:rsid w:val="003C6AF7"/>
    <w:rsid w:val="003D3F84"/>
    <w:rsid w:val="003E6190"/>
    <w:rsid w:val="003E775F"/>
    <w:rsid w:val="003F0145"/>
    <w:rsid w:val="003F443F"/>
    <w:rsid w:val="003F58F8"/>
    <w:rsid w:val="00405167"/>
    <w:rsid w:val="00410B27"/>
    <w:rsid w:val="004119A5"/>
    <w:rsid w:val="00417BCC"/>
    <w:rsid w:val="00420E20"/>
    <w:rsid w:val="00422D1B"/>
    <w:rsid w:val="0042443D"/>
    <w:rsid w:val="00431ED1"/>
    <w:rsid w:val="00432172"/>
    <w:rsid w:val="00437495"/>
    <w:rsid w:val="00441BFD"/>
    <w:rsid w:val="00446881"/>
    <w:rsid w:val="00446A07"/>
    <w:rsid w:val="00451B82"/>
    <w:rsid w:val="00452844"/>
    <w:rsid w:val="0045301E"/>
    <w:rsid w:val="00461957"/>
    <w:rsid w:val="0046625C"/>
    <w:rsid w:val="00470C21"/>
    <w:rsid w:val="00476C9E"/>
    <w:rsid w:val="00484B5D"/>
    <w:rsid w:val="00491E5F"/>
    <w:rsid w:val="00491FEF"/>
    <w:rsid w:val="00493F3C"/>
    <w:rsid w:val="00496D0B"/>
    <w:rsid w:val="004A170B"/>
    <w:rsid w:val="004A3423"/>
    <w:rsid w:val="004A704D"/>
    <w:rsid w:val="004A775D"/>
    <w:rsid w:val="004A7E08"/>
    <w:rsid w:val="004B07DE"/>
    <w:rsid w:val="004B1D54"/>
    <w:rsid w:val="004B3F30"/>
    <w:rsid w:val="004B4ED3"/>
    <w:rsid w:val="004B51E6"/>
    <w:rsid w:val="004B6E01"/>
    <w:rsid w:val="004C2CD8"/>
    <w:rsid w:val="004C320D"/>
    <w:rsid w:val="004C7C8D"/>
    <w:rsid w:val="004D5FAB"/>
    <w:rsid w:val="004D6DD4"/>
    <w:rsid w:val="004E09BF"/>
    <w:rsid w:val="004E0F77"/>
    <w:rsid w:val="004E121A"/>
    <w:rsid w:val="004E5BAE"/>
    <w:rsid w:val="004E69AD"/>
    <w:rsid w:val="004F3F2A"/>
    <w:rsid w:val="004F3FB3"/>
    <w:rsid w:val="0050004E"/>
    <w:rsid w:val="00500EE4"/>
    <w:rsid w:val="005043EB"/>
    <w:rsid w:val="0051343D"/>
    <w:rsid w:val="00514A31"/>
    <w:rsid w:val="0051577A"/>
    <w:rsid w:val="0051619B"/>
    <w:rsid w:val="00517A68"/>
    <w:rsid w:val="00522D3B"/>
    <w:rsid w:val="00525257"/>
    <w:rsid w:val="00530369"/>
    <w:rsid w:val="00531E5E"/>
    <w:rsid w:val="00536B31"/>
    <w:rsid w:val="0054262A"/>
    <w:rsid w:val="005428CD"/>
    <w:rsid w:val="005431D3"/>
    <w:rsid w:val="00544064"/>
    <w:rsid w:val="00547312"/>
    <w:rsid w:val="0055555B"/>
    <w:rsid w:val="00556740"/>
    <w:rsid w:val="00560545"/>
    <w:rsid w:val="005607DA"/>
    <w:rsid w:val="0056154E"/>
    <w:rsid w:val="00563849"/>
    <w:rsid w:val="00571069"/>
    <w:rsid w:val="00574557"/>
    <w:rsid w:val="00574AA0"/>
    <w:rsid w:val="00582E5E"/>
    <w:rsid w:val="00586E39"/>
    <w:rsid w:val="00587567"/>
    <w:rsid w:val="0059380F"/>
    <w:rsid w:val="00593D91"/>
    <w:rsid w:val="005A08B1"/>
    <w:rsid w:val="005A3B1B"/>
    <w:rsid w:val="005A3D74"/>
    <w:rsid w:val="005A7193"/>
    <w:rsid w:val="005B1C53"/>
    <w:rsid w:val="005B29CD"/>
    <w:rsid w:val="005C121B"/>
    <w:rsid w:val="005C36F6"/>
    <w:rsid w:val="005C62D2"/>
    <w:rsid w:val="005D1919"/>
    <w:rsid w:val="005D3790"/>
    <w:rsid w:val="005D595C"/>
    <w:rsid w:val="005E25BD"/>
    <w:rsid w:val="005E2CC4"/>
    <w:rsid w:val="005E47B8"/>
    <w:rsid w:val="005F33B7"/>
    <w:rsid w:val="00605BA1"/>
    <w:rsid w:val="00607625"/>
    <w:rsid w:val="006138D1"/>
    <w:rsid w:val="00613B6F"/>
    <w:rsid w:val="00615FA5"/>
    <w:rsid w:val="00616C29"/>
    <w:rsid w:val="00622408"/>
    <w:rsid w:val="0062542B"/>
    <w:rsid w:val="006274BD"/>
    <w:rsid w:val="00630094"/>
    <w:rsid w:val="00635C53"/>
    <w:rsid w:val="0063765A"/>
    <w:rsid w:val="00643C78"/>
    <w:rsid w:val="006440A9"/>
    <w:rsid w:val="00645794"/>
    <w:rsid w:val="00646D3E"/>
    <w:rsid w:val="00647C6A"/>
    <w:rsid w:val="00653994"/>
    <w:rsid w:val="0065464B"/>
    <w:rsid w:val="006569DA"/>
    <w:rsid w:val="00657B52"/>
    <w:rsid w:val="006612EF"/>
    <w:rsid w:val="006615B1"/>
    <w:rsid w:val="00662D74"/>
    <w:rsid w:val="00663AE5"/>
    <w:rsid w:val="006713A7"/>
    <w:rsid w:val="006749D6"/>
    <w:rsid w:val="00677781"/>
    <w:rsid w:val="00680970"/>
    <w:rsid w:val="00680ADB"/>
    <w:rsid w:val="00691C95"/>
    <w:rsid w:val="006A0922"/>
    <w:rsid w:val="006A4066"/>
    <w:rsid w:val="006B222A"/>
    <w:rsid w:val="006B3546"/>
    <w:rsid w:val="006B3F5B"/>
    <w:rsid w:val="006B6E4E"/>
    <w:rsid w:val="006C16FF"/>
    <w:rsid w:val="006C261F"/>
    <w:rsid w:val="006C350D"/>
    <w:rsid w:val="006C4CB8"/>
    <w:rsid w:val="006C5145"/>
    <w:rsid w:val="006C655C"/>
    <w:rsid w:val="006D1999"/>
    <w:rsid w:val="006E03B0"/>
    <w:rsid w:val="006E1A6F"/>
    <w:rsid w:val="006E6712"/>
    <w:rsid w:val="006F6656"/>
    <w:rsid w:val="00710293"/>
    <w:rsid w:val="0071381A"/>
    <w:rsid w:val="007169D6"/>
    <w:rsid w:val="007234CE"/>
    <w:rsid w:val="0072563F"/>
    <w:rsid w:val="007277AB"/>
    <w:rsid w:val="007331E5"/>
    <w:rsid w:val="00742B9E"/>
    <w:rsid w:val="00742F2A"/>
    <w:rsid w:val="00746F87"/>
    <w:rsid w:val="00750DA3"/>
    <w:rsid w:val="007530C8"/>
    <w:rsid w:val="00761FCF"/>
    <w:rsid w:val="00764D6A"/>
    <w:rsid w:val="007667DF"/>
    <w:rsid w:val="00766A53"/>
    <w:rsid w:val="00772CE5"/>
    <w:rsid w:val="00772D42"/>
    <w:rsid w:val="00773056"/>
    <w:rsid w:val="00780790"/>
    <w:rsid w:val="007833E8"/>
    <w:rsid w:val="0078416C"/>
    <w:rsid w:val="007866FA"/>
    <w:rsid w:val="007904D6"/>
    <w:rsid w:val="007970E8"/>
    <w:rsid w:val="00797460"/>
    <w:rsid w:val="007A4DDB"/>
    <w:rsid w:val="007A5BD5"/>
    <w:rsid w:val="007A5D10"/>
    <w:rsid w:val="007B018C"/>
    <w:rsid w:val="007B1FBF"/>
    <w:rsid w:val="007B215C"/>
    <w:rsid w:val="007B5D59"/>
    <w:rsid w:val="007B66C4"/>
    <w:rsid w:val="007B6EB4"/>
    <w:rsid w:val="007B7E13"/>
    <w:rsid w:val="007C1564"/>
    <w:rsid w:val="007C358A"/>
    <w:rsid w:val="007D033E"/>
    <w:rsid w:val="007D6E21"/>
    <w:rsid w:val="007E1A53"/>
    <w:rsid w:val="007E2BC6"/>
    <w:rsid w:val="007E3940"/>
    <w:rsid w:val="007E39EF"/>
    <w:rsid w:val="007E63F8"/>
    <w:rsid w:val="007F410F"/>
    <w:rsid w:val="007F495A"/>
    <w:rsid w:val="007F6185"/>
    <w:rsid w:val="007F7CB6"/>
    <w:rsid w:val="00800FE1"/>
    <w:rsid w:val="00804C6C"/>
    <w:rsid w:val="0081510C"/>
    <w:rsid w:val="00820F04"/>
    <w:rsid w:val="00831DED"/>
    <w:rsid w:val="00833E8F"/>
    <w:rsid w:val="008368DD"/>
    <w:rsid w:val="0084011B"/>
    <w:rsid w:val="0084223F"/>
    <w:rsid w:val="008441C4"/>
    <w:rsid w:val="0085207C"/>
    <w:rsid w:val="00863135"/>
    <w:rsid w:val="0086371C"/>
    <w:rsid w:val="00870039"/>
    <w:rsid w:val="00875CC4"/>
    <w:rsid w:val="00877428"/>
    <w:rsid w:val="0087752B"/>
    <w:rsid w:val="00880725"/>
    <w:rsid w:val="0088231A"/>
    <w:rsid w:val="00891ACC"/>
    <w:rsid w:val="00892CC1"/>
    <w:rsid w:val="0089320B"/>
    <w:rsid w:val="00894031"/>
    <w:rsid w:val="00897B06"/>
    <w:rsid w:val="008A0EE3"/>
    <w:rsid w:val="008A34EA"/>
    <w:rsid w:val="008A52D2"/>
    <w:rsid w:val="008A6105"/>
    <w:rsid w:val="008A6137"/>
    <w:rsid w:val="008A61D2"/>
    <w:rsid w:val="008B14E1"/>
    <w:rsid w:val="008B2DAF"/>
    <w:rsid w:val="008B34EE"/>
    <w:rsid w:val="008B52B2"/>
    <w:rsid w:val="008C56EB"/>
    <w:rsid w:val="008C584E"/>
    <w:rsid w:val="008D0E92"/>
    <w:rsid w:val="008D619B"/>
    <w:rsid w:val="008E2231"/>
    <w:rsid w:val="008F3341"/>
    <w:rsid w:val="008F5066"/>
    <w:rsid w:val="008F6841"/>
    <w:rsid w:val="008F7B16"/>
    <w:rsid w:val="008F7BD2"/>
    <w:rsid w:val="00901C73"/>
    <w:rsid w:val="009020C3"/>
    <w:rsid w:val="009030E7"/>
    <w:rsid w:val="009046E1"/>
    <w:rsid w:val="009100E3"/>
    <w:rsid w:val="00910449"/>
    <w:rsid w:val="00915698"/>
    <w:rsid w:val="00920CE5"/>
    <w:rsid w:val="00923CC9"/>
    <w:rsid w:val="00927027"/>
    <w:rsid w:val="009338FF"/>
    <w:rsid w:val="009407D8"/>
    <w:rsid w:val="00940A09"/>
    <w:rsid w:val="00941C39"/>
    <w:rsid w:val="00943CF5"/>
    <w:rsid w:val="009478A9"/>
    <w:rsid w:val="00947F38"/>
    <w:rsid w:val="00956533"/>
    <w:rsid w:val="009622CD"/>
    <w:rsid w:val="00965612"/>
    <w:rsid w:val="00967536"/>
    <w:rsid w:val="00967F47"/>
    <w:rsid w:val="00975EE6"/>
    <w:rsid w:val="0097615E"/>
    <w:rsid w:val="00982F7E"/>
    <w:rsid w:val="00993423"/>
    <w:rsid w:val="00993A96"/>
    <w:rsid w:val="009A3704"/>
    <w:rsid w:val="009A501D"/>
    <w:rsid w:val="009B02E8"/>
    <w:rsid w:val="009B5C20"/>
    <w:rsid w:val="009B774A"/>
    <w:rsid w:val="009B790D"/>
    <w:rsid w:val="009C2D57"/>
    <w:rsid w:val="009D263F"/>
    <w:rsid w:val="009D49FD"/>
    <w:rsid w:val="009D5007"/>
    <w:rsid w:val="009D79A5"/>
    <w:rsid w:val="009E2823"/>
    <w:rsid w:val="009E482C"/>
    <w:rsid w:val="009F0C7F"/>
    <w:rsid w:val="009F61BC"/>
    <w:rsid w:val="00A125D9"/>
    <w:rsid w:val="00A306C3"/>
    <w:rsid w:val="00A32E25"/>
    <w:rsid w:val="00A40690"/>
    <w:rsid w:val="00A411A8"/>
    <w:rsid w:val="00A441F5"/>
    <w:rsid w:val="00A4508E"/>
    <w:rsid w:val="00A50EBC"/>
    <w:rsid w:val="00A51BC9"/>
    <w:rsid w:val="00A60B3A"/>
    <w:rsid w:val="00A67D64"/>
    <w:rsid w:val="00A812AF"/>
    <w:rsid w:val="00A87C7C"/>
    <w:rsid w:val="00A91307"/>
    <w:rsid w:val="00A93B4C"/>
    <w:rsid w:val="00A93FA6"/>
    <w:rsid w:val="00A95DA4"/>
    <w:rsid w:val="00A97DEA"/>
    <w:rsid w:val="00AA1D58"/>
    <w:rsid w:val="00AA2739"/>
    <w:rsid w:val="00AA6670"/>
    <w:rsid w:val="00AB2EFA"/>
    <w:rsid w:val="00AB665C"/>
    <w:rsid w:val="00AB7911"/>
    <w:rsid w:val="00AC16AD"/>
    <w:rsid w:val="00AC18D8"/>
    <w:rsid w:val="00AC2881"/>
    <w:rsid w:val="00AC35F5"/>
    <w:rsid w:val="00AC7B20"/>
    <w:rsid w:val="00AD1059"/>
    <w:rsid w:val="00AE4237"/>
    <w:rsid w:val="00AF284B"/>
    <w:rsid w:val="00AF35E6"/>
    <w:rsid w:val="00AF7997"/>
    <w:rsid w:val="00B02B9B"/>
    <w:rsid w:val="00B100DE"/>
    <w:rsid w:val="00B10E8D"/>
    <w:rsid w:val="00B16192"/>
    <w:rsid w:val="00B24AB4"/>
    <w:rsid w:val="00B24C47"/>
    <w:rsid w:val="00B2557D"/>
    <w:rsid w:val="00B27A74"/>
    <w:rsid w:val="00B33521"/>
    <w:rsid w:val="00B34774"/>
    <w:rsid w:val="00B36D8D"/>
    <w:rsid w:val="00B37FAA"/>
    <w:rsid w:val="00B45F57"/>
    <w:rsid w:val="00B54B30"/>
    <w:rsid w:val="00B5740E"/>
    <w:rsid w:val="00B614D2"/>
    <w:rsid w:val="00B63B5D"/>
    <w:rsid w:val="00B658F1"/>
    <w:rsid w:val="00B74590"/>
    <w:rsid w:val="00B77310"/>
    <w:rsid w:val="00B83E08"/>
    <w:rsid w:val="00B84485"/>
    <w:rsid w:val="00B861B4"/>
    <w:rsid w:val="00B91D52"/>
    <w:rsid w:val="00B93C7A"/>
    <w:rsid w:val="00B97965"/>
    <w:rsid w:val="00B97E61"/>
    <w:rsid w:val="00BA20FF"/>
    <w:rsid w:val="00BA2D18"/>
    <w:rsid w:val="00BA3090"/>
    <w:rsid w:val="00BA37AB"/>
    <w:rsid w:val="00BA43C3"/>
    <w:rsid w:val="00BA5B0F"/>
    <w:rsid w:val="00BA6911"/>
    <w:rsid w:val="00BB78E1"/>
    <w:rsid w:val="00BC1616"/>
    <w:rsid w:val="00BD34CC"/>
    <w:rsid w:val="00BD52DC"/>
    <w:rsid w:val="00BD671A"/>
    <w:rsid w:val="00BD78D3"/>
    <w:rsid w:val="00BE561A"/>
    <w:rsid w:val="00BE6B5C"/>
    <w:rsid w:val="00BE7D9D"/>
    <w:rsid w:val="00BF4D87"/>
    <w:rsid w:val="00BF4E55"/>
    <w:rsid w:val="00BF6B40"/>
    <w:rsid w:val="00BF777A"/>
    <w:rsid w:val="00C003C5"/>
    <w:rsid w:val="00C02519"/>
    <w:rsid w:val="00C10090"/>
    <w:rsid w:val="00C12ACE"/>
    <w:rsid w:val="00C214DD"/>
    <w:rsid w:val="00C21B60"/>
    <w:rsid w:val="00C33358"/>
    <w:rsid w:val="00C40C8D"/>
    <w:rsid w:val="00C416EC"/>
    <w:rsid w:val="00C44D99"/>
    <w:rsid w:val="00C4721F"/>
    <w:rsid w:val="00C47D73"/>
    <w:rsid w:val="00C47FBF"/>
    <w:rsid w:val="00C50935"/>
    <w:rsid w:val="00C63E3B"/>
    <w:rsid w:val="00C67634"/>
    <w:rsid w:val="00C7135D"/>
    <w:rsid w:val="00C71564"/>
    <w:rsid w:val="00C74715"/>
    <w:rsid w:val="00C74950"/>
    <w:rsid w:val="00C76A59"/>
    <w:rsid w:val="00C801A3"/>
    <w:rsid w:val="00C80B0D"/>
    <w:rsid w:val="00C80C09"/>
    <w:rsid w:val="00C812D2"/>
    <w:rsid w:val="00C84903"/>
    <w:rsid w:val="00C859C9"/>
    <w:rsid w:val="00C85C2F"/>
    <w:rsid w:val="00C85C62"/>
    <w:rsid w:val="00C96DC2"/>
    <w:rsid w:val="00CA4ECA"/>
    <w:rsid w:val="00CA6B70"/>
    <w:rsid w:val="00CA6C9D"/>
    <w:rsid w:val="00CB4857"/>
    <w:rsid w:val="00CC6426"/>
    <w:rsid w:val="00CC6AE7"/>
    <w:rsid w:val="00CD488B"/>
    <w:rsid w:val="00CD5E6D"/>
    <w:rsid w:val="00CD6120"/>
    <w:rsid w:val="00CE19E4"/>
    <w:rsid w:val="00CF0CC2"/>
    <w:rsid w:val="00CF4F5E"/>
    <w:rsid w:val="00CF52C1"/>
    <w:rsid w:val="00D00883"/>
    <w:rsid w:val="00D01BA5"/>
    <w:rsid w:val="00D07F7D"/>
    <w:rsid w:val="00D1032B"/>
    <w:rsid w:val="00D20DAF"/>
    <w:rsid w:val="00D24D07"/>
    <w:rsid w:val="00D2544A"/>
    <w:rsid w:val="00D41EF7"/>
    <w:rsid w:val="00D44341"/>
    <w:rsid w:val="00D45316"/>
    <w:rsid w:val="00D46CA3"/>
    <w:rsid w:val="00D47121"/>
    <w:rsid w:val="00D51C37"/>
    <w:rsid w:val="00D527DA"/>
    <w:rsid w:val="00D54D10"/>
    <w:rsid w:val="00D6561B"/>
    <w:rsid w:val="00D65CD1"/>
    <w:rsid w:val="00D6626A"/>
    <w:rsid w:val="00D70F13"/>
    <w:rsid w:val="00D84B71"/>
    <w:rsid w:val="00D84E0E"/>
    <w:rsid w:val="00D9177A"/>
    <w:rsid w:val="00DA1F76"/>
    <w:rsid w:val="00DA25C8"/>
    <w:rsid w:val="00DA71B8"/>
    <w:rsid w:val="00DB21A2"/>
    <w:rsid w:val="00DB31EB"/>
    <w:rsid w:val="00DB71A3"/>
    <w:rsid w:val="00DC2349"/>
    <w:rsid w:val="00DC41DE"/>
    <w:rsid w:val="00DC55BE"/>
    <w:rsid w:val="00DC7AA9"/>
    <w:rsid w:val="00DD38D4"/>
    <w:rsid w:val="00DE0AAE"/>
    <w:rsid w:val="00DE21ED"/>
    <w:rsid w:val="00DE7C16"/>
    <w:rsid w:val="00E01493"/>
    <w:rsid w:val="00E11AC7"/>
    <w:rsid w:val="00E20810"/>
    <w:rsid w:val="00E20FE8"/>
    <w:rsid w:val="00E223F4"/>
    <w:rsid w:val="00E3126A"/>
    <w:rsid w:val="00E324FB"/>
    <w:rsid w:val="00E32CA8"/>
    <w:rsid w:val="00E43324"/>
    <w:rsid w:val="00E461E2"/>
    <w:rsid w:val="00E4637D"/>
    <w:rsid w:val="00E54595"/>
    <w:rsid w:val="00E57C50"/>
    <w:rsid w:val="00E60333"/>
    <w:rsid w:val="00E608D5"/>
    <w:rsid w:val="00E6099E"/>
    <w:rsid w:val="00E60E5E"/>
    <w:rsid w:val="00E61A0E"/>
    <w:rsid w:val="00E64B73"/>
    <w:rsid w:val="00E64E3C"/>
    <w:rsid w:val="00E65E81"/>
    <w:rsid w:val="00E71AEF"/>
    <w:rsid w:val="00E74DA5"/>
    <w:rsid w:val="00E76A29"/>
    <w:rsid w:val="00E82D81"/>
    <w:rsid w:val="00E83BAC"/>
    <w:rsid w:val="00E83F3C"/>
    <w:rsid w:val="00E84F8D"/>
    <w:rsid w:val="00E869EE"/>
    <w:rsid w:val="00E87619"/>
    <w:rsid w:val="00E87CEC"/>
    <w:rsid w:val="00E90F90"/>
    <w:rsid w:val="00E91D72"/>
    <w:rsid w:val="00E94B5E"/>
    <w:rsid w:val="00E97CE1"/>
    <w:rsid w:val="00E97F13"/>
    <w:rsid w:val="00EA3E22"/>
    <w:rsid w:val="00EA542D"/>
    <w:rsid w:val="00EA5678"/>
    <w:rsid w:val="00EB026F"/>
    <w:rsid w:val="00EB3232"/>
    <w:rsid w:val="00EC202F"/>
    <w:rsid w:val="00EC40D3"/>
    <w:rsid w:val="00EC73F0"/>
    <w:rsid w:val="00ED01BB"/>
    <w:rsid w:val="00ED269B"/>
    <w:rsid w:val="00ED2C8C"/>
    <w:rsid w:val="00ED78A6"/>
    <w:rsid w:val="00EE4833"/>
    <w:rsid w:val="00EF1C43"/>
    <w:rsid w:val="00EF55CC"/>
    <w:rsid w:val="00EF7FBD"/>
    <w:rsid w:val="00F01D00"/>
    <w:rsid w:val="00F02EAA"/>
    <w:rsid w:val="00F04729"/>
    <w:rsid w:val="00F04761"/>
    <w:rsid w:val="00F05120"/>
    <w:rsid w:val="00F05B08"/>
    <w:rsid w:val="00F07F95"/>
    <w:rsid w:val="00F1390E"/>
    <w:rsid w:val="00F254C1"/>
    <w:rsid w:val="00F30BEB"/>
    <w:rsid w:val="00F333E9"/>
    <w:rsid w:val="00F36371"/>
    <w:rsid w:val="00F40BF7"/>
    <w:rsid w:val="00F52863"/>
    <w:rsid w:val="00F5304F"/>
    <w:rsid w:val="00F549BF"/>
    <w:rsid w:val="00F55F6F"/>
    <w:rsid w:val="00F56AD8"/>
    <w:rsid w:val="00F6688C"/>
    <w:rsid w:val="00F670FD"/>
    <w:rsid w:val="00F672D4"/>
    <w:rsid w:val="00F67AFC"/>
    <w:rsid w:val="00F70C42"/>
    <w:rsid w:val="00F76B44"/>
    <w:rsid w:val="00F82F27"/>
    <w:rsid w:val="00F87A08"/>
    <w:rsid w:val="00F87FC9"/>
    <w:rsid w:val="00F9058F"/>
    <w:rsid w:val="00F906E3"/>
    <w:rsid w:val="00F93897"/>
    <w:rsid w:val="00FA0B2E"/>
    <w:rsid w:val="00FA2743"/>
    <w:rsid w:val="00FA5F4D"/>
    <w:rsid w:val="00FA6393"/>
    <w:rsid w:val="00FC019A"/>
    <w:rsid w:val="00FC1759"/>
    <w:rsid w:val="00FC74A5"/>
    <w:rsid w:val="00FD1D57"/>
    <w:rsid w:val="00FD49DA"/>
    <w:rsid w:val="00FD7468"/>
    <w:rsid w:val="00FE1C6E"/>
    <w:rsid w:val="00FE274C"/>
    <w:rsid w:val="00FE64BC"/>
    <w:rsid w:val="00FF1791"/>
    <w:rsid w:val="00FF33D1"/>
    <w:rsid w:val="00FF4FC8"/>
    <w:rsid w:val="02A472A6"/>
    <w:rsid w:val="0438ED62"/>
    <w:rsid w:val="04EA1185"/>
    <w:rsid w:val="051E7E65"/>
    <w:rsid w:val="056A7A28"/>
    <w:rsid w:val="07BA2DBE"/>
    <w:rsid w:val="07E4C3CB"/>
    <w:rsid w:val="0C2AB0F3"/>
    <w:rsid w:val="0CB48797"/>
    <w:rsid w:val="0D6F3BDE"/>
    <w:rsid w:val="0D97F212"/>
    <w:rsid w:val="0DA4356C"/>
    <w:rsid w:val="12806AEB"/>
    <w:rsid w:val="13534E75"/>
    <w:rsid w:val="14036C57"/>
    <w:rsid w:val="1656962C"/>
    <w:rsid w:val="1803DEC1"/>
    <w:rsid w:val="19E155B1"/>
    <w:rsid w:val="1B561F13"/>
    <w:rsid w:val="1D87E87D"/>
    <w:rsid w:val="1E14FBE4"/>
    <w:rsid w:val="2081BD79"/>
    <w:rsid w:val="24EA2233"/>
    <w:rsid w:val="24FDE2CA"/>
    <w:rsid w:val="250794DE"/>
    <w:rsid w:val="257AB698"/>
    <w:rsid w:val="25DDAB86"/>
    <w:rsid w:val="26B571E3"/>
    <w:rsid w:val="2AB2F413"/>
    <w:rsid w:val="2C2D3DD9"/>
    <w:rsid w:val="2C870A0C"/>
    <w:rsid w:val="2CB61437"/>
    <w:rsid w:val="2CB9ADA2"/>
    <w:rsid w:val="2CDD846D"/>
    <w:rsid w:val="2E3D4178"/>
    <w:rsid w:val="2EA61DC3"/>
    <w:rsid w:val="30C3E46D"/>
    <w:rsid w:val="31434158"/>
    <w:rsid w:val="335C6F1B"/>
    <w:rsid w:val="34045727"/>
    <w:rsid w:val="34EE7A5B"/>
    <w:rsid w:val="3671AD08"/>
    <w:rsid w:val="386A6635"/>
    <w:rsid w:val="38A6BE29"/>
    <w:rsid w:val="394ED20D"/>
    <w:rsid w:val="3C94A585"/>
    <w:rsid w:val="3D65686B"/>
    <w:rsid w:val="3E11D1CC"/>
    <w:rsid w:val="3FE4364F"/>
    <w:rsid w:val="43582DE1"/>
    <w:rsid w:val="43F178A4"/>
    <w:rsid w:val="4758E300"/>
    <w:rsid w:val="475CEE0E"/>
    <w:rsid w:val="47E2B825"/>
    <w:rsid w:val="4C8B4308"/>
    <w:rsid w:val="4E84A58A"/>
    <w:rsid w:val="4FDE27E3"/>
    <w:rsid w:val="527AA0A7"/>
    <w:rsid w:val="58674C81"/>
    <w:rsid w:val="5A168BD0"/>
    <w:rsid w:val="5B92CEDA"/>
    <w:rsid w:val="5F0242B4"/>
    <w:rsid w:val="60FD7331"/>
    <w:rsid w:val="61DA6D76"/>
    <w:rsid w:val="62405090"/>
    <w:rsid w:val="6521120A"/>
    <w:rsid w:val="66B53E02"/>
    <w:rsid w:val="67AA65EB"/>
    <w:rsid w:val="67E0B194"/>
    <w:rsid w:val="67F1445B"/>
    <w:rsid w:val="6938A4C1"/>
    <w:rsid w:val="6DF70003"/>
    <w:rsid w:val="6EFFF712"/>
    <w:rsid w:val="703CB845"/>
    <w:rsid w:val="72B25906"/>
    <w:rsid w:val="73E3B21E"/>
    <w:rsid w:val="743DF4CD"/>
    <w:rsid w:val="74874FF8"/>
    <w:rsid w:val="762DA9C9"/>
    <w:rsid w:val="78AE627D"/>
    <w:rsid w:val="79702DDC"/>
    <w:rsid w:val="7C3DC28D"/>
    <w:rsid w:val="7E27C4B0"/>
    <w:rsid w:val="7F012C6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57834"/>
  <w15:docId w15:val="{E48B9E16-2B7F-45C4-BB6B-65BC674D2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iPriority="26" w:unhideWhenUsed="1"/>
    <w:lsdException w:name="footer" w:semiHidden="1" w:uiPriority="27"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1" w:uiPriority="21" w:qFormat="1"/>
    <w:lsdException w:name="Subtle Reference" w:semiHidden="1" w:uiPriority="31" w:qFormat="1"/>
    <w:lsdException w:name="Intense Reference" w:locked="1"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761"/>
    <w:pPr>
      <w:spacing w:after="20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F04761"/>
    <w:pPr>
      <w:widowControl w:val="0"/>
      <w:spacing w:before="2880"/>
      <w:contextualSpacing/>
      <w:outlineLvl w:val="0"/>
    </w:pPr>
    <w:rPr>
      <w:rFonts w:ascii="Calibri" w:eastAsiaTheme="minorHAnsi" w:hAnsi="Calibri" w:cstheme="minorBidi"/>
      <w:b/>
      <w:bCs/>
      <w:spacing w:val="5"/>
      <w:kern w:val="28"/>
      <w:sz w:val="72"/>
      <w:szCs w:val="28"/>
      <w:lang w:eastAsia="en-US"/>
    </w:rPr>
  </w:style>
  <w:style w:type="paragraph" w:styleId="Heading2">
    <w:name w:val="heading 2"/>
    <w:basedOn w:val="Normal"/>
    <w:next w:val="Normal"/>
    <w:link w:val="Heading2Char"/>
    <w:uiPriority w:val="3"/>
    <w:rsid w:val="00F04761"/>
    <w:pPr>
      <w:pageBreakBefore/>
      <w:numPr>
        <w:numId w:val="8"/>
      </w:numPr>
      <w:spacing w:after="240" w:line="240" w:lineRule="auto"/>
      <w:outlineLvl w:val="1"/>
    </w:pPr>
    <w:rPr>
      <w:rFonts w:ascii="Calibri" w:eastAsiaTheme="minorEastAsia" w:hAnsi="Calibri"/>
      <w:bCs/>
      <w:color w:val="000000" w:themeColor="text1"/>
      <w:sz w:val="56"/>
      <w:szCs w:val="28"/>
      <w:lang w:eastAsia="ja-JP"/>
    </w:rPr>
  </w:style>
  <w:style w:type="paragraph" w:styleId="Heading3">
    <w:name w:val="heading 3"/>
    <w:next w:val="Normal"/>
    <w:link w:val="Heading3Char"/>
    <w:uiPriority w:val="4"/>
    <w:qFormat/>
    <w:rsid w:val="00F04761"/>
    <w:pPr>
      <w:keepNext/>
      <w:keepLines/>
      <w:numPr>
        <w:ilvl w:val="1"/>
        <w:numId w:val="8"/>
      </w:numPr>
      <w:outlineLvl w:val="2"/>
    </w:pPr>
    <w:rPr>
      <w:rFonts w:ascii="Calibri" w:eastAsia="Times New Roman" w:hAnsi="Calibri"/>
      <w:b/>
      <w:bCs/>
      <w:sz w:val="40"/>
      <w:szCs w:val="24"/>
      <w:lang w:eastAsia="en-US"/>
    </w:rPr>
  </w:style>
  <w:style w:type="paragraph" w:styleId="Heading4">
    <w:name w:val="heading 4"/>
    <w:next w:val="Normal"/>
    <w:link w:val="Heading4Char"/>
    <w:uiPriority w:val="5"/>
    <w:qFormat/>
    <w:rsid w:val="00F04761"/>
    <w:pPr>
      <w:keepNext/>
      <w:numPr>
        <w:ilvl w:val="2"/>
        <w:numId w:val="8"/>
      </w:numPr>
      <w:outlineLvl w:val="3"/>
    </w:pPr>
    <w:rPr>
      <w:rFonts w:ascii="Calibri" w:eastAsia="Times New Roman" w:hAnsi="Calibri"/>
      <w:b/>
      <w:bCs/>
      <w:sz w:val="32"/>
      <w:szCs w:val="24"/>
      <w:lang w:eastAsia="en-US"/>
    </w:rPr>
  </w:style>
  <w:style w:type="paragraph" w:styleId="Heading5">
    <w:name w:val="heading 5"/>
    <w:basedOn w:val="Normal"/>
    <w:next w:val="Normal"/>
    <w:link w:val="Heading5Char"/>
    <w:uiPriority w:val="6"/>
    <w:rsid w:val="00F04761"/>
    <w:pPr>
      <w:keepNext/>
      <w:keepLines/>
      <w:spacing w:after="0" w:line="240" w:lineRule="auto"/>
      <w:outlineLvl w:val="4"/>
    </w:pPr>
    <w:rPr>
      <w:rFonts w:ascii="Calibri" w:hAnsi="Calibri"/>
      <w:b/>
      <w:sz w:val="28"/>
      <w:szCs w:val="24"/>
    </w:rPr>
  </w:style>
  <w:style w:type="paragraph" w:styleId="Heading6">
    <w:name w:val="heading 6"/>
    <w:basedOn w:val="Normal"/>
    <w:next w:val="Normal"/>
    <w:link w:val="Heading6Char"/>
    <w:uiPriority w:val="9"/>
    <w:semiHidden/>
    <w:qFormat/>
    <w:rsid w:val="00F04761"/>
    <w:pPr>
      <w:keepNext/>
      <w:keepLines/>
      <w:spacing w:before="40" w:after="0"/>
      <w:outlineLvl w:val="5"/>
    </w:pPr>
    <w:rPr>
      <w:rFonts w:eastAsiaTheme="majorEastAsia" w:cstheme="majorBidi"/>
      <w:b/>
      <w:i/>
      <w:sz w:val="24"/>
    </w:rPr>
  </w:style>
  <w:style w:type="paragraph" w:styleId="Heading7">
    <w:name w:val="heading 7"/>
    <w:basedOn w:val="Normal"/>
    <w:next w:val="Normal"/>
    <w:link w:val="Heading7Char"/>
    <w:uiPriority w:val="9"/>
    <w:semiHidden/>
    <w:qFormat/>
    <w:rsid w:val="00F04761"/>
    <w:pPr>
      <w:keepNext/>
      <w:keepLines/>
      <w:spacing w:after="0"/>
      <w:outlineLvl w:val="6"/>
    </w:pPr>
    <w:rPr>
      <w:rFonts w:ascii="Calibri" w:eastAsiaTheme="majorEastAsia" w:hAnsi="Calibri" w:cstheme="majorBidi"/>
      <w:b/>
      <w:iCs/>
    </w:rPr>
  </w:style>
  <w:style w:type="paragraph" w:styleId="Heading8">
    <w:name w:val="heading 8"/>
    <w:basedOn w:val="Normal"/>
    <w:next w:val="Normal"/>
    <w:link w:val="Heading8Char"/>
    <w:uiPriority w:val="9"/>
    <w:semiHidden/>
    <w:qFormat/>
    <w:rsid w:val="00F04761"/>
    <w:pPr>
      <w:keepNext/>
      <w:keepLines/>
      <w:spacing w:before="40" w:after="0"/>
      <w:outlineLvl w:val="7"/>
    </w:pPr>
    <w:rPr>
      <w:rFonts w:ascii="Calibri" w:eastAsiaTheme="majorEastAsia" w:hAnsi="Calibri" w:cstheme="majorBidi"/>
      <w:b/>
      <w:i/>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F04761"/>
    <w:rPr>
      <w:sz w:val="20"/>
      <w:szCs w:val="20"/>
    </w:rPr>
  </w:style>
  <w:style w:type="character" w:customStyle="1" w:styleId="CommentTextChar">
    <w:name w:val="Comment Text Char"/>
    <w:basedOn w:val="DefaultParagraphFont"/>
    <w:link w:val="CommentText"/>
    <w:rsid w:val="00F04761"/>
    <w:rPr>
      <w:rFonts w:asciiTheme="minorHAnsi" w:eastAsiaTheme="minorHAnsi" w:hAnsiTheme="minorHAnsi" w:cstheme="minorBidi"/>
      <w:lang w:eastAsia="en-US"/>
    </w:rPr>
  </w:style>
  <w:style w:type="paragraph" w:styleId="Header">
    <w:name w:val="header"/>
    <w:basedOn w:val="Normal"/>
    <w:link w:val="HeaderChar"/>
    <w:uiPriority w:val="26"/>
    <w:rsid w:val="00F04761"/>
    <w:pPr>
      <w:tabs>
        <w:tab w:val="center" w:pos="4820"/>
      </w:tabs>
      <w:spacing w:before="120" w:line="240" w:lineRule="auto"/>
      <w:jc w:val="center"/>
    </w:pPr>
    <w:rPr>
      <w:rFonts w:ascii="Calibri" w:hAnsi="Calibri"/>
      <w:sz w:val="20"/>
    </w:rPr>
  </w:style>
  <w:style w:type="character" w:customStyle="1" w:styleId="HeaderChar">
    <w:name w:val="Header Char"/>
    <w:basedOn w:val="DefaultParagraphFont"/>
    <w:link w:val="Header"/>
    <w:uiPriority w:val="26"/>
    <w:rsid w:val="00F04761"/>
    <w:rPr>
      <w:rFonts w:ascii="Calibri" w:eastAsiaTheme="minorHAnsi" w:hAnsi="Calibri" w:cstheme="minorBidi"/>
      <w:szCs w:val="22"/>
      <w:lang w:eastAsia="en-US"/>
    </w:rPr>
  </w:style>
  <w:style w:type="paragraph" w:styleId="Footer">
    <w:name w:val="footer"/>
    <w:basedOn w:val="Normal"/>
    <w:link w:val="FooterChar"/>
    <w:uiPriority w:val="27"/>
    <w:rsid w:val="00F04761"/>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27"/>
    <w:rsid w:val="00F04761"/>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F04761"/>
    <w:rPr>
      <w:sz w:val="16"/>
      <w:szCs w:val="16"/>
    </w:rPr>
  </w:style>
  <w:style w:type="paragraph" w:styleId="CommentSubject">
    <w:name w:val="annotation subject"/>
    <w:basedOn w:val="CommentText"/>
    <w:next w:val="CommentText"/>
    <w:link w:val="CommentSubjectChar"/>
    <w:uiPriority w:val="99"/>
    <w:semiHidden/>
    <w:unhideWhenUsed/>
    <w:rsid w:val="00F04761"/>
    <w:rPr>
      <w:b/>
      <w:bCs/>
    </w:rPr>
  </w:style>
  <w:style w:type="character" w:customStyle="1" w:styleId="CommentSubjectChar">
    <w:name w:val="Comment Subject Char"/>
    <w:basedOn w:val="CommentTextChar"/>
    <w:link w:val="CommentSubject"/>
    <w:uiPriority w:val="99"/>
    <w:semiHidden/>
    <w:rsid w:val="00F04761"/>
    <w:rPr>
      <w:rFonts w:asciiTheme="minorHAnsi" w:eastAsiaTheme="minorHAnsi" w:hAnsiTheme="minorHAnsi" w:cstheme="minorBidi"/>
      <w:b/>
      <w:bCs/>
      <w:lang w:eastAsia="en-US"/>
    </w:rPr>
  </w:style>
  <w:style w:type="paragraph" w:styleId="BalloonText">
    <w:name w:val="Balloon Text"/>
    <w:basedOn w:val="Normal"/>
    <w:link w:val="BalloonTextChar"/>
    <w:uiPriority w:val="99"/>
    <w:semiHidden/>
    <w:unhideWhenUsed/>
    <w:rsid w:val="00F04761"/>
    <w:rPr>
      <w:rFonts w:ascii="Calibri" w:hAnsi="Calibri"/>
      <w:sz w:val="18"/>
      <w:szCs w:val="18"/>
    </w:rPr>
  </w:style>
  <w:style w:type="character" w:customStyle="1" w:styleId="BalloonTextChar">
    <w:name w:val="Balloon Text Char"/>
    <w:basedOn w:val="DefaultParagraphFont"/>
    <w:link w:val="BalloonText"/>
    <w:uiPriority w:val="99"/>
    <w:semiHidden/>
    <w:rsid w:val="00F04761"/>
    <w:rPr>
      <w:rFonts w:ascii="Calibri" w:eastAsiaTheme="minorHAnsi" w:hAnsi="Calibri" w:cstheme="minorBidi"/>
      <w:sz w:val="18"/>
      <w:szCs w:val="18"/>
      <w:lang w:eastAsia="en-US"/>
    </w:rPr>
  </w:style>
  <w:style w:type="table" w:styleId="TableGrid">
    <w:name w:val="Table Grid"/>
    <w:basedOn w:val="TableNormal"/>
    <w:uiPriority w:val="59"/>
    <w:rsid w:val="00F04761"/>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F04761"/>
    <w:rPr>
      <w:sz w:val="16"/>
    </w:rPr>
  </w:style>
  <w:style w:type="character" w:customStyle="1" w:styleId="Heading1Char">
    <w:name w:val="Heading 1 Char"/>
    <w:basedOn w:val="DefaultParagraphFont"/>
    <w:link w:val="Heading1"/>
    <w:uiPriority w:val="1"/>
    <w:rsid w:val="00F04761"/>
    <w:rPr>
      <w:rFonts w:ascii="Calibri" w:eastAsiaTheme="minorHAnsi" w:hAnsi="Calibri" w:cstheme="minorBidi"/>
      <w:b/>
      <w:bCs/>
      <w:spacing w:val="5"/>
      <w:kern w:val="28"/>
      <w:sz w:val="72"/>
      <w:szCs w:val="28"/>
      <w:lang w:eastAsia="en-US"/>
    </w:rPr>
  </w:style>
  <w:style w:type="character" w:customStyle="1" w:styleId="Heading2Char">
    <w:name w:val="Heading 2 Char"/>
    <w:basedOn w:val="DefaultParagraphFont"/>
    <w:link w:val="Heading2"/>
    <w:uiPriority w:val="3"/>
    <w:rsid w:val="00F04761"/>
    <w:rPr>
      <w:rFonts w:ascii="Calibri" w:eastAsiaTheme="minorEastAsia" w:hAnsi="Calibri" w:cstheme="minorBidi"/>
      <w:bCs/>
      <w:color w:val="000000" w:themeColor="text1"/>
      <w:sz w:val="56"/>
      <w:szCs w:val="28"/>
      <w:lang w:eastAsia="ja-JP"/>
    </w:rPr>
  </w:style>
  <w:style w:type="character" w:customStyle="1" w:styleId="Heading3Char">
    <w:name w:val="Heading 3 Char"/>
    <w:basedOn w:val="DefaultParagraphFont"/>
    <w:link w:val="Heading3"/>
    <w:uiPriority w:val="4"/>
    <w:rsid w:val="00F04761"/>
    <w:rPr>
      <w:rFonts w:ascii="Calibri" w:eastAsia="Times New Roman" w:hAnsi="Calibri"/>
      <w:b/>
      <w:bCs/>
      <w:sz w:val="40"/>
      <w:szCs w:val="24"/>
      <w:lang w:eastAsia="en-US"/>
    </w:rPr>
  </w:style>
  <w:style w:type="character" w:customStyle="1" w:styleId="Heading4Char">
    <w:name w:val="Heading 4 Char"/>
    <w:basedOn w:val="DefaultParagraphFont"/>
    <w:link w:val="Heading4"/>
    <w:uiPriority w:val="5"/>
    <w:rsid w:val="00F04761"/>
    <w:rPr>
      <w:rFonts w:ascii="Calibri" w:eastAsia="Times New Roman" w:hAnsi="Calibri"/>
      <w:b/>
      <w:bCs/>
      <w:sz w:val="32"/>
      <w:szCs w:val="24"/>
      <w:lang w:eastAsia="en-US"/>
    </w:rPr>
  </w:style>
  <w:style w:type="character" w:customStyle="1" w:styleId="Heading5Char">
    <w:name w:val="Heading 5 Char"/>
    <w:basedOn w:val="DefaultParagraphFont"/>
    <w:link w:val="Heading5"/>
    <w:uiPriority w:val="6"/>
    <w:rsid w:val="00F04761"/>
    <w:rPr>
      <w:rFonts w:ascii="Calibri" w:eastAsiaTheme="minorHAnsi" w:hAnsi="Calibri" w:cstheme="minorBidi"/>
      <w:b/>
      <w:sz w:val="28"/>
      <w:szCs w:val="24"/>
      <w:lang w:eastAsia="en-US"/>
    </w:rPr>
  </w:style>
  <w:style w:type="paragraph" w:styleId="Quote">
    <w:name w:val="Quote"/>
    <w:basedOn w:val="Normal"/>
    <w:next w:val="Normal"/>
    <w:link w:val="QuoteChar"/>
    <w:uiPriority w:val="18"/>
    <w:qFormat/>
    <w:rsid w:val="00F04761"/>
    <w:pPr>
      <w:ind w:left="709" w:right="567"/>
    </w:pPr>
    <w:rPr>
      <w:iCs/>
      <w:color w:val="000000"/>
    </w:rPr>
  </w:style>
  <w:style w:type="character" w:customStyle="1" w:styleId="QuoteChar">
    <w:name w:val="Quote Char"/>
    <w:basedOn w:val="DefaultParagraphFont"/>
    <w:link w:val="Quote"/>
    <w:uiPriority w:val="18"/>
    <w:rsid w:val="00F04761"/>
    <w:rPr>
      <w:rFonts w:asciiTheme="minorHAnsi" w:eastAsiaTheme="minorHAnsi" w:hAnsiTheme="minorHAnsi" w:cstheme="minorBidi"/>
      <w:iCs/>
      <w:color w:val="000000"/>
      <w:sz w:val="22"/>
      <w:szCs w:val="22"/>
      <w:lang w:eastAsia="en-US"/>
    </w:rPr>
  </w:style>
  <w:style w:type="paragraph" w:customStyle="1" w:styleId="BoxText">
    <w:name w:val="Box Text"/>
    <w:basedOn w:val="Normal"/>
    <w:uiPriority w:val="19"/>
    <w:qFormat/>
    <w:rsid w:val="00F04761"/>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Normal"/>
    <w:uiPriority w:val="12"/>
    <w:qFormat/>
    <w:rsid w:val="00F04761"/>
    <w:pPr>
      <w:keepNext/>
      <w:spacing w:after="120" w:line="240" w:lineRule="auto"/>
    </w:pPr>
    <w:rPr>
      <w:rFonts w:ascii="Calibri" w:hAnsi="Calibri"/>
      <w:b/>
      <w:bCs/>
      <w:sz w:val="24"/>
      <w:szCs w:val="18"/>
    </w:rPr>
  </w:style>
  <w:style w:type="paragraph" w:customStyle="1" w:styleId="FigureTableNoteSource">
    <w:name w:val="Figure/Table Note/Source"/>
    <w:basedOn w:val="Normal"/>
    <w:next w:val="Normal"/>
    <w:uiPriority w:val="16"/>
    <w:qFormat/>
    <w:rsid w:val="00F04761"/>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F04761"/>
    <w:pPr>
      <w:spacing w:before="120"/>
    </w:pPr>
    <w:rPr>
      <w:b w:val="0"/>
      <w:sz w:val="56"/>
      <w:szCs w:val="56"/>
    </w:rPr>
  </w:style>
  <w:style w:type="character" w:customStyle="1" w:styleId="SubtitleChar">
    <w:name w:val="Subtitle Char"/>
    <w:basedOn w:val="DefaultParagraphFont"/>
    <w:link w:val="Subtitle"/>
    <w:uiPriority w:val="23"/>
    <w:rsid w:val="00F04761"/>
    <w:rPr>
      <w:rFonts w:ascii="Calibri" w:eastAsiaTheme="minorHAnsi" w:hAnsi="Calibri" w:cstheme="minorBidi"/>
      <w:bCs/>
      <w:spacing w:val="5"/>
      <w:kern w:val="28"/>
      <w:sz w:val="56"/>
      <w:szCs w:val="56"/>
      <w:lang w:eastAsia="en-US"/>
    </w:rPr>
  </w:style>
  <w:style w:type="paragraph" w:styleId="TOCHeading">
    <w:name w:val="TOC Heading"/>
    <w:next w:val="Normal"/>
    <w:uiPriority w:val="39"/>
    <w:qFormat/>
    <w:rsid w:val="00F04761"/>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F04761"/>
    <w:pPr>
      <w:tabs>
        <w:tab w:val="left" w:pos="426"/>
        <w:tab w:val="right" w:leader="dot" w:pos="9072"/>
      </w:tabs>
      <w:spacing w:before="120" w:after="120" w:line="240" w:lineRule="auto"/>
    </w:pPr>
    <w:rPr>
      <w:b/>
      <w:noProof/>
    </w:rPr>
  </w:style>
  <w:style w:type="paragraph" w:styleId="TOC2">
    <w:name w:val="toc 2"/>
    <w:basedOn w:val="Normal"/>
    <w:next w:val="Normal"/>
    <w:uiPriority w:val="39"/>
    <w:unhideWhenUsed/>
    <w:qFormat/>
    <w:rsid w:val="00F04761"/>
    <w:pPr>
      <w:tabs>
        <w:tab w:val="right" w:leader="dot" w:pos="9060"/>
      </w:tabs>
      <w:spacing w:before="120" w:after="120" w:line="240" w:lineRule="auto"/>
      <w:ind w:left="1134" w:hanging="709"/>
    </w:pPr>
    <w:rPr>
      <w:noProof/>
    </w:rPr>
  </w:style>
  <w:style w:type="paragraph" w:styleId="TOC3">
    <w:name w:val="toc 3"/>
    <w:basedOn w:val="Normal"/>
    <w:next w:val="Normal"/>
    <w:uiPriority w:val="39"/>
    <w:unhideWhenUsed/>
    <w:qFormat/>
    <w:rsid w:val="00F04761"/>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sid w:val="00F04761"/>
    <w:rPr>
      <w:color w:val="165788"/>
      <w:u w:val="single"/>
    </w:rPr>
  </w:style>
  <w:style w:type="paragraph" w:styleId="ListBullet">
    <w:name w:val="List Bullet"/>
    <w:basedOn w:val="Normal"/>
    <w:uiPriority w:val="99"/>
    <w:qFormat/>
    <w:rsid w:val="00F04761"/>
    <w:pPr>
      <w:numPr>
        <w:numId w:val="9"/>
      </w:numPr>
      <w:spacing w:before="120" w:after="120"/>
    </w:pPr>
  </w:style>
  <w:style w:type="paragraph" w:styleId="TableofFigures">
    <w:name w:val="table of figures"/>
    <w:basedOn w:val="Normal"/>
    <w:next w:val="Normal"/>
    <w:uiPriority w:val="99"/>
    <w:rsid w:val="00F04761"/>
    <w:pPr>
      <w:spacing w:before="120" w:after="120" w:line="240" w:lineRule="auto"/>
    </w:pPr>
  </w:style>
  <w:style w:type="paragraph" w:styleId="ListBullet2">
    <w:name w:val="List Bullet 2"/>
    <w:basedOn w:val="Normal"/>
    <w:uiPriority w:val="8"/>
    <w:qFormat/>
    <w:rsid w:val="00F04761"/>
    <w:pPr>
      <w:numPr>
        <w:ilvl w:val="1"/>
        <w:numId w:val="9"/>
      </w:numPr>
      <w:spacing w:before="120" w:after="120"/>
      <w:contextualSpacing/>
    </w:pPr>
  </w:style>
  <w:style w:type="paragraph" w:styleId="ListNumber">
    <w:name w:val="List Number"/>
    <w:basedOn w:val="Normal"/>
    <w:uiPriority w:val="9"/>
    <w:qFormat/>
    <w:rsid w:val="00F04761"/>
    <w:pPr>
      <w:numPr>
        <w:numId w:val="10"/>
      </w:numPr>
      <w:tabs>
        <w:tab w:val="left" w:pos="142"/>
      </w:tabs>
      <w:spacing w:before="120" w:after="120"/>
    </w:pPr>
  </w:style>
  <w:style w:type="paragraph" w:styleId="ListNumber2">
    <w:name w:val="List Number 2"/>
    <w:uiPriority w:val="10"/>
    <w:qFormat/>
    <w:rsid w:val="00F04761"/>
    <w:pPr>
      <w:numPr>
        <w:ilvl w:val="1"/>
        <w:numId w:val="10"/>
      </w:numPr>
      <w:spacing w:before="120" w:after="120" w:line="264" w:lineRule="auto"/>
    </w:pPr>
    <w:rPr>
      <w:rFonts w:asciiTheme="minorHAnsi" w:eastAsia="Times New Roman" w:hAnsiTheme="minorHAnsi"/>
      <w:sz w:val="22"/>
      <w:szCs w:val="24"/>
      <w:lang w:eastAsia="en-US"/>
    </w:rPr>
  </w:style>
  <w:style w:type="paragraph" w:styleId="ListNumber3">
    <w:name w:val="List Number 3"/>
    <w:uiPriority w:val="11"/>
    <w:qFormat/>
    <w:rsid w:val="00F04761"/>
    <w:pPr>
      <w:numPr>
        <w:ilvl w:val="2"/>
        <w:numId w:val="10"/>
      </w:numPr>
      <w:spacing w:before="120" w:after="120" w:line="264" w:lineRule="auto"/>
    </w:pPr>
    <w:rPr>
      <w:rFonts w:asciiTheme="minorHAnsi" w:eastAsia="Times New Roman" w:hAnsiTheme="minorHAnsi"/>
      <w:sz w:val="22"/>
      <w:szCs w:val="24"/>
      <w:lang w:eastAsia="en-US"/>
    </w:rPr>
  </w:style>
  <w:style w:type="table" w:customStyle="1" w:styleId="LightShading1">
    <w:name w:val="Light Shading1"/>
    <w:basedOn w:val="TableNormal"/>
    <w:uiPriority w:val="60"/>
    <w:rsid w:val="00F0476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F04761"/>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TableText">
    <w:name w:val="Table Text"/>
    <w:basedOn w:val="Normal"/>
    <w:uiPriority w:val="13"/>
    <w:qFormat/>
    <w:rsid w:val="00F04761"/>
    <w:pPr>
      <w:spacing w:before="60" w:after="60" w:line="240" w:lineRule="auto"/>
    </w:pPr>
    <w:rPr>
      <w:sz w:val="18"/>
    </w:rPr>
  </w:style>
  <w:style w:type="table" w:styleId="TableGrid1">
    <w:name w:val="Table Grid 1"/>
    <w:basedOn w:val="TableNormal"/>
    <w:uiPriority w:val="99"/>
    <w:semiHidden/>
    <w:unhideWhenUsed/>
    <w:rsid w:val="00F04761"/>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ableText"/>
    <w:uiPriority w:val="14"/>
    <w:qFormat/>
    <w:rsid w:val="00F04761"/>
    <w:pPr>
      <w:keepNext/>
    </w:pPr>
    <w:rPr>
      <w:b/>
    </w:rPr>
  </w:style>
  <w:style w:type="character" w:styleId="PlaceholderText">
    <w:name w:val="Placeholder Text"/>
    <w:basedOn w:val="DefaultParagraphFont"/>
    <w:uiPriority w:val="99"/>
    <w:semiHidden/>
    <w:rsid w:val="00F04761"/>
    <w:rPr>
      <w:color w:val="808080"/>
    </w:rPr>
  </w:style>
  <w:style w:type="paragraph" w:customStyle="1" w:styleId="Author">
    <w:name w:val="Author"/>
    <w:basedOn w:val="Normal"/>
    <w:next w:val="Normal"/>
    <w:uiPriority w:val="24"/>
    <w:qFormat/>
    <w:rsid w:val="00F04761"/>
    <w:pPr>
      <w:spacing w:after="60"/>
    </w:pPr>
    <w:rPr>
      <w:b/>
      <w:sz w:val="28"/>
      <w:szCs w:val="28"/>
    </w:rPr>
  </w:style>
  <w:style w:type="paragraph" w:customStyle="1" w:styleId="AuthorOrganisationAffiliation">
    <w:name w:val="Author Organisation/Affiliation"/>
    <w:basedOn w:val="Normal"/>
    <w:next w:val="Normal"/>
    <w:uiPriority w:val="25"/>
    <w:qFormat/>
    <w:rsid w:val="00F04761"/>
    <w:pPr>
      <w:spacing w:after="720"/>
    </w:pPr>
  </w:style>
  <w:style w:type="character" w:styleId="Strong">
    <w:name w:val="Strong"/>
    <w:basedOn w:val="DefaultParagraphFont"/>
    <w:uiPriority w:val="22"/>
    <w:qFormat/>
    <w:rsid w:val="00F04761"/>
    <w:rPr>
      <w:b/>
      <w:bCs/>
    </w:rPr>
  </w:style>
  <w:style w:type="paragraph" w:customStyle="1" w:styleId="Glossary">
    <w:name w:val="Glossary"/>
    <w:basedOn w:val="Normal"/>
    <w:link w:val="GlossaryChar"/>
    <w:uiPriority w:val="28"/>
    <w:semiHidden/>
    <w:locked/>
    <w:rsid w:val="00F04761"/>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semiHidden/>
    <w:rsid w:val="00F04761"/>
    <w:rPr>
      <w:rFonts w:asciiTheme="minorHAnsi" w:eastAsia="Calibri" w:hAnsiTheme="minorHAnsi" w:cstheme="minorBidi"/>
      <w:color w:val="000000"/>
      <w:sz w:val="22"/>
      <w:szCs w:val="22"/>
      <w:lang w:eastAsia="en-US"/>
    </w:rPr>
  </w:style>
  <w:style w:type="character" w:styleId="Emphasis">
    <w:name w:val="Emphasis"/>
    <w:basedOn w:val="DefaultParagraphFont"/>
    <w:uiPriority w:val="99"/>
    <w:qFormat/>
    <w:rsid w:val="00F04761"/>
    <w:rPr>
      <w:i/>
      <w:iCs/>
    </w:rPr>
  </w:style>
  <w:style w:type="paragraph" w:styleId="TOAHeading">
    <w:name w:val="toa heading"/>
    <w:basedOn w:val="Heading1"/>
    <w:next w:val="Normal"/>
    <w:uiPriority w:val="99"/>
    <w:semiHidden/>
    <w:unhideWhenUsed/>
    <w:rsid w:val="00F04761"/>
    <w:pPr>
      <w:spacing w:before="120"/>
    </w:pPr>
    <w:rPr>
      <w:bCs w:val="0"/>
      <w:sz w:val="24"/>
    </w:rPr>
  </w:style>
  <w:style w:type="paragraph" w:styleId="NormalWeb">
    <w:name w:val="Normal (Web)"/>
    <w:basedOn w:val="Normal"/>
    <w:uiPriority w:val="99"/>
    <w:semiHidden/>
    <w:unhideWhenUsed/>
    <w:rsid w:val="00F04761"/>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F04761"/>
    <w:pPr>
      <w:numPr>
        <w:numId w:val="6"/>
      </w:numPr>
    </w:pPr>
  </w:style>
  <w:style w:type="paragraph" w:customStyle="1" w:styleId="TableBullet">
    <w:name w:val="Table Bullet"/>
    <w:basedOn w:val="TableText"/>
    <w:uiPriority w:val="15"/>
    <w:qFormat/>
    <w:rsid w:val="00F04761"/>
    <w:pPr>
      <w:numPr>
        <w:numId w:val="11"/>
      </w:numPr>
    </w:pPr>
  </w:style>
  <w:style w:type="paragraph" w:styleId="DocumentMap">
    <w:name w:val="Document Map"/>
    <w:basedOn w:val="Normal"/>
    <w:link w:val="DocumentMapChar"/>
    <w:uiPriority w:val="99"/>
    <w:semiHidden/>
    <w:unhideWhenUsed/>
    <w:rsid w:val="00F0476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04761"/>
    <w:rPr>
      <w:rFonts w:ascii="Tahoma" w:eastAsiaTheme="minorHAnsi" w:hAnsi="Tahoma" w:cs="Tahoma"/>
      <w:sz w:val="16"/>
      <w:szCs w:val="16"/>
      <w:lang w:eastAsia="en-US"/>
    </w:rPr>
  </w:style>
  <w:style w:type="paragraph" w:customStyle="1" w:styleId="BoxHeading">
    <w:name w:val="Box Heading"/>
    <w:basedOn w:val="BoxText"/>
    <w:uiPriority w:val="20"/>
    <w:qFormat/>
    <w:rsid w:val="00F04761"/>
    <w:pPr>
      <w:spacing w:line="240" w:lineRule="auto"/>
    </w:pPr>
    <w:rPr>
      <w:b/>
    </w:rPr>
  </w:style>
  <w:style w:type="paragraph" w:customStyle="1" w:styleId="Securityclassification">
    <w:name w:val="Security classification"/>
    <w:basedOn w:val="Header"/>
    <w:next w:val="Header"/>
    <w:uiPriority w:val="26"/>
    <w:semiHidden/>
    <w:qFormat/>
    <w:rsid w:val="00F04761"/>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F04761"/>
    <w:pPr>
      <w:spacing w:after="0"/>
    </w:pPr>
    <w:rPr>
      <w:b/>
      <w:sz w:val="36"/>
      <w:szCs w:val="36"/>
    </w:rPr>
  </w:style>
  <w:style w:type="paragraph" w:styleId="FootnoteText">
    <w:name w:val="footnote text"/>
    <w:basedOn w:val="Normal"/>
    <w:link w:val="FootnoteTextChar"/>
    <w:uiPriority w:val="99"/>
    <w:unhideWhenUsed/>
    <w:rsid w:val="00F04761"/>
    <w:pPr>
      <w:spacing w:after="60" w:line="264" w:lineRule="auto"/>
    </w:pPr>
    <w:rPr>
      <w:sz w:val="20"/>
      <w:szCs w:val="20"/>
    </w:rPr>
  </w:style>
  <w:style w:type="character" w:customStyle="1" w:styleId="FootnoteTextChar">
    <w:name w:val="Footnote Text Char"/>
    <w:basedOn w:val="DefaultParagraphFont"/>
    <w:link w:val="FootnoteText"/>
    <w:uiPriority w:val="99"/>
    <w:rsid w:val="00F04761"/>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F04761"/>
    <w:rPr>
      <w:vertAlign w:val="superscript"/>
    </w:rPr>
  </w:style>
  <w:style w:type="character" w:styleId="EndnoteReference">
    <w:name w:val="endnote reference"/>
    <w:basedOn w:val="DefaultParagraphFont"/>
    <w:uiPriority w:val="99"/>
    <w:semiHidden/>
    <w:unhideWhenUsed/>
    <w:rsid w:val="00F04761"/>
    <w:rPr>
      <w:vertAlign w:val="superscript"/>
    </w:rPr>
  </w:style>
  <w:style w:type="character" w:styleId="FollowedHyperlink">
    <w:name w:val="FollowedHyperlink"/>
    <w:basedOn w:val="DefaultParagraphFont"/>
    <w:uiPriority w:val="99"/>
    <w:semiHidden/>
    <w:unhideWhenUsed/>
    <w:rsid w:val="00F04761"/>
    <w:rPr>
      <w:color w:val="800080"/>
      <w:u w:val="single"/>
    </w:rPr>
  </w:style>
  <w:style w:type="paragraph" w:customStyle="1" w:styleId="BoxSource">
    <w:name w:val="Box Source"/>
    <w:basedOn w:val="FigureTableNoteSource"/>
    <w:uiPriority w:val="22"/>
    <w:qFormat/>
    <w:rsid w:val="00F04761"/>
    <w:pPr>
      <w:pBdr>
        <w:top w:val="single" w:sz="4" w:space="10" w:color="auto"/>
        <w:left w:val="single" w:sz="4" w:space="10" w:color="auto"/>
        <w:bottom w:val="single" w:sz="4" w:space="10" w:color="auto"/>
        <w:right w:val="single" w:sz="4" w:space="10" w:color="auto"/>
      </w:pBdr>
    </w:pPr>
    <w:rPr>
      <w:rFonts w:asciiTheme="minorHAnsi" w:hAnsiTheme="minorHAnsi"/>
    </w:rPr>
  </w:style>
  <w:style w:type="numbering" w:customStyle="1" w:styleId="List1">
    <w:name w:val="List1"/>
    <w:basedOn w:val="NoList"/>
    <w:uiPriority w:val="99"/>
    <w:rsid w:val="00F04761"/>
    <w:pPr>
      <w:numPr>
        <w:numId w:val="1"/>
      </w:numPr>
    </w:pPr>
  </w:style>
  <w:style w:type="paragraph" w:styleId="Title">
    <w:name w:val="Title"/>
    <w:basedOn w:val="Normal"/>
    <w:next w:val="Normal"/>
    <w:link w:val="TitleChar"/>
    <w:uiPriority w:val="10"/>
    <w:semiHidden/>
    <w:qFormat/>
    <w:rsid w:val="00F04761"/>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F04761"/>
    <w:rPr>
      <w:rFonts w:asciiTheme="minorHAnsi" w:eastAsiaTheme="majorEastAsia" w:hAnsiTheme="minorHAnsi" w:cstheme="majorBidi"/>
      <w:b/>
      <w:spacing w:val="5"/>
      <w:kern w:val="28"/>
      <w:sz w:val="72"/>
      <w:szCs w:val="52"/>
      <w:lang w:eastAsia="en-US"/>
    </w:rPr>
  </w:style>
  <w:style w:type="paragraph" w:customStyle="1" w:styleId="TOCHeading2">
    <w:name w:val="TOC Heading 2"/>
    <w:next w:val="Normal"/>
    <w:qFormat/>
    <w:rsid w:val="00F04761"/>
    <w:pPr>
      <w:spacing w:before="240"/>
    </w:pPr>
    <w:rPr>
      <w:rFonts w:ascii="Calibri Light" w:eastAsiaTheme="minorHAnsi" w:hAnsi="Calibri Light" w:cstheme="minorBidi"/>
      <w:b/>
      <w:sz w:val="36"/>
      <w:szCs w:val="22"/>
      <w:lang w:eastAsia="en-US"/>
    </w:rPr>
  </w:style>
  <w:style w:type="numbering" w:customStyle="1" w:styleId="Numberlist">
    <w:name w:val="Number list"/>
    <w:uiPriority w:val="99"/>
    <w:rsid w:val="00F04761"/>
    <w:pPr>
      <w:numPr>
        <w:numId w:val="2"/>
      </w:numPr>
    </w:pPr>
  </w:style>
  <w:style w:type="numbering" w:customStyle="1" w:styleId="Headinglist">
    <w:name w:val="Heading list"/>
    <w:uiPriority w:val="99"/>
    <w:rsid w:val="00F04761"/>
    <w:pPr>
      <w:numPr>
        <w:numId w:val="3"/>
      </w:numPr>
    </w:pPr>
  </w:style>
  <w:style w:type="paragraph" w:customStyle="1" w:styleId="Normalsmall">
    <w:name w:val="Normal small"/>
    <w:qFormat/>
    <w:rsid w:val="00F04761"/>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F04761"/>
    <w:pPr>
      <w:numPr>
        <w:ilvl w:val="2"/>
        <w:numId w:val="9"/>
      </w:numPr>
      <w:contextualSpacing/>
    </w:pPr>
  </w:style>
  <w:style w:type="table" w:customStyle="1" w:styleId="ABARESTableleftrightalign">
    <w:name w:val="ABARES Table (left/right align)"/>
    <w:basedOn w:val="TableNormal"/>
    <w:uiPriority w:val="99"/>
    <w:rsid w:val="00F04761"/>
    <w:pPr>
      <w:spacing w:before="60" w:after="60"/>
      <w:jc w:val="right"/>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table" w:customStyle="1" w:styleId="ABAREStableleftalign">
    <w:name w:val="ABARES table (left align)"/>
    <w:basedOn w:val="TableNormal"/>
    <w:uiPriority w:val="99"/>
    <w:rsid w:val="00F04761"/>
    <w:pPr>
      <w:spacing w:before="60" w:after="60"/>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paragraph" w:customStyle="1" w:styleId="TableListNumber">
    <w:name w:val="Table List Number"/>
    <w:uiPriority w:val="99"/>
    <w:qFormat/>
    <w:rsid w:val="00F04761"/>
    <w:pPr>
      <w:numPr>
        <w:numId w:val="13"/>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F04761"/>
    <w:rPr>
      <w:i/>
      <w:iCs/>
      <w:color w:val="4F81BD" w:themeColor="accent1"/>
    </w:rPr>
  </w:style>
  <w:style w:type="paragraph" w:customStyle="1" w:styleId="TableBullet2">
    <w:name w:val="Table Bullet 2"/>
    <w:basedOn w:val="TableBullet"/>
    <w:qFormat/>
    <w:rsid w:val="00F04761"/>
    <w:pPr>
      <w:numPr>
        <w:numId w:val="12"/>
      </w:numPr>
      <w:tabs>
        <w:tab w:val="num" w:pos="361"/>
      </w:tabs>
    </w:pPr>
  </w:style>
  <w:style w:type="numbering" w:customStyle="1" w:styleId="TableBulletlist">
    <w:name w:val="Table Bullet list"/>
    <w:uiPriority w:val="99"/>
    <w:rsid w:val="00F04761"/>
    <w:pPr>
      <w:numPr>
        <w:numId w:val="4"/>
      </w:numPr>
    </w:pPr>
  </w:style>
  <w:style w:type="character" w:styleId="UnresolvedMention">
    <w:name w:val="Unresolved Mention"/>
    <w:basedOn w:val="DefaultParagraphFont"/>
    <w:uiPriority w:val="99"/>
    <w:semiHidden/>
    <w:unhideWhenUsed/>
    <w:rsid w:val="00F04761"/>
    <w:rPr>
      <w:color w:val="605E5C"/>
      <w:shd w:val="clear" w:color="auto" w:fill="E1DFDD"/>
    </w:rPr>
  </w:style>
  <w:style w:type="paragraph" w:styleId="ListParagraph">
    <w:name w:val="List Paragraph"/>
    <w:basedOn w:val="Normal"/>
    <w:uiPriority w:val="34"/>
    <w:semiHidden/>
    <w:qFormat/>
    <w:rsid w:val="00F04761"/>
    <w:pPr>
      <w:spacing w:after="0" w:line="240" w:lineRule="auto"/>
      <w:ind w:left="720"/>
    </w:pPr>
    <w:rPr>
      <w:rFonts w:ascii="Calibri" w:hAnsi="Calibri" w:cs="Calibri"/>
    </w:rPr>
  </w:style>
  <w:style w:type="character" w:customStyle="1" w:styleId="Heading6Char">
    <w:name w:val="Heading 6 Char"/>
    <w:basedOn w:val="DefaultParagraphFont"/>
    <w:link w:val="Heading6"/>
    <w:uiPriority w:val="9"/>
    <w:semiHidden/>
    <w:rsid w:val="00F04761"/>
    <w:rPr>
      <w:rFonts w:asciiTheme="minorHAnsi" w:eastAsiaTheme="majorEastAsia" w:hAnsiTheme="minorHAnsi" w:cstheme="majorBidi"/>
      <w:b/>
      <w:i/>
      <w:sz w:val="24"/>
      <w:szCs w:val="22"/>
      <w:lang w:eastAsia="en-US"/>
    </w:rPr>
  </w:style>
  <w:style w:type="paragraph" w:customStyle="1" w:styleId="TableListNumber2">
    <w:name w:val="Table List Number 2"/>
    <w:basedOn w:val="TableText"/>
    <w:qFormat/>
    <w:rsid w:val="00F04761"/>
    <w:pPr>
      <w:numPr>
        <w:ilvl w:val="1"/>
        <w:numId w:val="13"/>
      </w:numPr>
    </w:pPr>
  </w:style>
  <w:style w:type="paragraph" w:customStyle="1" w:styleId="TableListNumber3">
    <w:name w:val="Table List Number 3"/>
    <w:basedOn w:val="TableText"/>
    <w:qFormat/>
    <w:rsid w:val="00F04761"/>
    <w:pPr>
      <w:numPr>
        <w:ilvl w:val="2"/>
        <w:numId w:val="13"/>
      </w:numPr>
    </w:pPr>
  </w:style>
  <w:style w:type="numbering" w:customStyle="1" w:styleId="Tablenumberedlists">
    <w:name w:val="Table numbered lists"/>
    <w:uiPriority w:val="99"/>
    <w:rsid w:val="00F04761"/>
    <w:pPr>
      <w:numPr>
        <w:numId w:val="5"/>
      </w:numPr>
    </w:pPr>
  </w:style>
  <w:style w:type="character" w:customStyle="1" w:styleId="Heading7Char">
    <w:name w:val="Heading 7 Char"/>
    <w:basedOn w:val="DefaultParagraphFont"/>
    <w:link w:val="Heading7"/>
    <w:uiPriority w:val="9"/>
    <w:semiHidden/>
    <w:rsid w:val="00F04761"/>
    <w:rPr>
      <w:rFonts w:ascii="Calibri" w:eastAsiaTheme="majorEastAsia" w:hAnsi="Calibri" w:cstheme="majorBidi"/>
      <w:b/>
      <w:iCs/>
      <w:sz w:val="22"/>
      <w:szCs w:val="22"/>
      <w:lang w:eastAsia="en-US"/>
    </w:rPr>
  </w:style>
  <w:style w:type="character" w:customStyle="1" w:styleId="Heading8Char">
    <w:name w:val="Heading 8 Char"/>
    <w:basedOn w:val="DefaultParagraphFont"/>
    <w:link w:val="Heading8"/>
    <w:uiPriority w:val="9"/>
    <w:semiHidden/>
    <w:rsid w:val="00F04761"/>
    <w:rPr>
      <w:rFonts w:ascii="Calibri" w:eastAsiaTheme="majorEastAsia" w:hAnsi="Calibri" w:cstheme="majorBidi"/>
      <w:b/>
      <w:i/>
      <w:color w:val="272727" w:themeColor="text1" w:themeTint="D8"/>
      <w:sz w:val="22"/>
      <w:szCs w:val="21"/>
      <w:lang w:eastAsia="en-US"/>
    </w:rPr>
  </w:style>
  <w:style w:type="paragraph" w:customStyle="1" w:styleId="BoxTextNumber">
    <w:name w:val="Box Text Number"/>
    <w:basedOn w:val="BoxText"/>
    <w:qFormat/>
    <w:rsid w:val="00F04761"/>
    <w:pPr>
      <w:numPr>
        <w:numId w:val="7"/>
      </w:numPr>
    </w:pPr>
  </w:style>
  <w:style w:type="paragraph" w:styleId="Date">
    <w:name w:val="Date"/>
    <w:basedOn w:val="Normal"/>
    <w:next w:val="Normal"/>
    <w:link w:val="DateChar"/>
    <w:uiPriority w:val="99"/>
    <w:unhideWhenUsed/>
    <w:rsid w:val="00F04761"/>
    <w:rPr>
      <w:sz w:val="28"/>
    </w:rPr>
  </w:style>
  <w:style w:type="character" w:customStyle="1" w:styleId="DateChar">
    <w:name w:val="Date Char"/>
    <w:basedOn w:val="DefaultParagraphFont"/>
    <w:link w:val="Date"/>
    <w:uiPriority w:val="99"/>
    <w:rsid w:val="00F04761"/>
    <w:rPr>
      <w:rFonts w:asciiTheme="minorHAnsi" w:eastAsiaTheme="minorHAnsi" w:hAnsiTheme="minorHAnsi" w:cstheme="minorBidi"/>
      <w:sz w:val="28"/>
      <w:szCs w:val="22"/>
      <w:lang w:eastAsia="en-US"/>
    </w:rPr>
  </w:style>
  <w:style w:type="paragraph" w:styleId="Revision">
    <w:name w:val="Revision"/>
    <w:hidden/>
    <w:uiPriority w:val="99"/>
    <w:semiHidden/>
    <w:rsid w:val="00F36371"/>
    <w:rPr>
      <w:rFonts w:asciiTheme="minorHAnsi" w:eastAsiaTheme="minorHAnsi" w:hAnsiTheme="minorHAnsi" w:cstheme="minorBidi"/>
      <w:sz w:val="22"/>
      <w:szCs w:val="22"/>
      <w:lang w:eastAsia="en-US"/>
    </w:rPr>
  </w:style>
  <w:style w:type="paragraph" w:customStyle="1" w:styleId="Source">
    <w:name w:val="Source"/>
    <w:basedOn w:val="Normal"/>
    <w:qFormat/>
    <w:rsid w:val="007B6EB4"/>
    <w:pPr>
      <w:spacing w:after="120" w:line="280" w:lineRule="atLeast"/>
    </w:pPr>
    <w:rPr>
      <w:rFonts w:eastAsia="Calibri" w:cs="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77151">
      <w:bodyDiv w:val="1"/>
      <w:marLeft w:val="0"/>
      <w:marRight w:val="0"/>
      <w:marTop w:val="0"/>
      <w:marBottom w:val="0"/>
      <w:divBdr>
        <w:top w:val="none" w:sz="0" w:space="0" w:color="auto"/>
        <w:left w:val="none" w:sz="0" w:space="0" w:color="auto"/>
        <w:bottom w:val="none" w:sz="0" w:space="0" w:color="auto"/>
        <w:right w:val="none" w:sz="0" w:space="0" w:color="auto"/>
      </w:divBdr>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400699">
      <w:bodyDiv w:val="1"/>
      <w:marLeft w:val="0"/>
      <w:marRight w:val="0"/>
      <w:marTop w:val="0"/>
      <w:marBottom w:val="0"/>
      <w:divBdr>
        <w:top w:val="none" w:sz="0" w:space="0" w:color="auto"/>
        <w:left w:val="none" w:sz="0" w:space="0" w:color="auto"/>
        <w:bottom w:val="none" w:sz="0" w:space="0" w:color="auto"/>
        <w:right w:val="none" w:sz="0" w:space="0" w:color="auto"/>
      </w:divBdr>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2351179">
      <w:bodyDiv w:val="1"/>
      <w:marLeft w:val="0"/>
      <w:marRight w:val="0"/>
      <w:marTop w:val="0"/>
      <w:marBottom w:val="0"/>
      <w:divBdr>
        <w:top w:val="none" w:sz="0" w:space="0" w:color="auto"/>
        <w:left w:val="none" w:sz="0" w:space="0" w:color="auto"/>
        <w:bottom w:val="none" w:sz="0" w:space="0" w:color="auto"/>
        <w:right w:val="none" w:sz="0" w:space="0" w:color="auto"/>
      </w:divBdr>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415209">
      <w:bodyDiv w:val="1"/>
      <w:marLeft w:val="0"/>
      <w:marRight w:val="0"/>
      <w:marTop w:val="0"/>
      <w:marBottom w:val="0"/>
      <w:divBdr>
        <w:top w:val="none" w:sz="0" w:space="0" w:color="auto"/>
        <w:left w:val="none" w:sz="0" w:space="0" w:color="auto"/>
        <w:bottom w:val="none" w:sz="0" w:space="0" w:color="auto"/>
        <w:right w:val="none" w:sz="0" w:space="0" w:color="auto"/>
      </w:divBdr>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366667">
      <w:bodyDiv w:val="1"/>
      <w:marLeft w:val="0"/>
      <w:marRight w:val="0"/>
      <w:marTop w:val="0"/>
      <w:marBottom w:val="0"/>
      <w:divBdr>
        <w:top w:val="none" w:sz="0" w:space="0" w:color="auto"/>
        <w:left w:val="none" w:sz="0" w:space="0" w:color="auto"/>
        <w:bottom w:val="none" w:sz="0" w:space="0" w:color="auto"/>
        <w:right w:val="none" w:sz="0" w:space="0" w:color="auto"/>
      </w:divBdr>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40739257">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hyperlink" Target="https://www.agriculture.gov.au/biosecurity-trade/policy/emergency" TargetMode="External"/><Relationship Id="rId39" Type="http://schemas.openxmlformats.org/officeDocument/2006/relationships/hyperlink" Target="https://aha.canopihr.com.au/auth/login/?returnUrl=%2F" TargetMode="External"/><Relationship Id="rId21" Type="http://schemas.openxmlformats.org/officeDocument/2006/relationships/image" Target="media/image3.jpeg"/><Relationship Id="rId34" Type="http://schemas.openxmlformats.org/officeDocument/2006/relationships/hyperlink" Target="https://animalhealthaustralia.com.au/ausvetplan/"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knowledge.aidr.org.au/resources/handbook-public-information-and-warnings/" TargetMode="External"/><Relationship Id="rId29" Type="http://schemas.openxmlformats.org/officeDocument/2006/relationships/hyperlink" Target="https://animalhealthaustralia.com.au/ausvetplan/" TargetMode="External"/><Relationship Id="rId41" Type="http://schemas.openxmlformats.org/officeDocument/2006/relationships/hyperlink" Target="https://www.biosecurity.gov.au/about/national-biosecurity-committe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32" Type="http://schemas.openxmlformats.org/officeDocument/2006/relationships/hyperlink" Target="https://www.agriculture.gov.au/biosecurity-trade/policy/emergency/nebra" TargetMode="External"/><Relationship Id="rId37" Type="http://schemas.openxmlformats.org/officeDocument/2006/relationships/hyperlink" Target="https://www.marinepests.gov.au/what-we-do/emergency/emergency-marine-pest-plan" TargetMode="External"/><Relationship Id="rId40" Type="http://schemas.openxmlformats.org/officeDocument/2006/relationships/hyperlink" Target="https://biotraininghub.com.au/" TargetMode="External"/><Relationship Id="rId5" Type="http://schemas.openxmlformats.org/officeDocument/2006/relationships/numbering" Target="numbering.xml"/><Relationship Id="rId15" Type="http://schemas.openxmlformats.org/officeDocument/2006/relationships/hyperlink" Target="https://www.agriculture.gov.au/" TargetMode="External"/><Relationship Id="rId23" Type="http://schemas.openxmlformats.org/officeDocument/2006/relationships/hyperlink" Target="https://www.afac.com.au/AIIMS" TargetMode="External"/><Relationship Id="rId28" Type="http://schemas.openxmlformats.org/officeDocument/2006/relationships/hyperlink" Target="https://www.nema.gov.au/our-work/emergency-response/crisis-appreciation-and-strategic-planning" TargetMode="External"/><Relationship Id="rId36" Type="http://schemas.openxmlformats.org/officeDocument/2006/relationships/hyperlink" Target="https://www.agriculture.gov.au/agriculture-land/animal/aquatic/aquavetplan"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animalhealthaustralia.com.au/eadr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utbreak.gov.au/our-role/response-outbreak/national-biosecurity-communication-engagement-network" TargetMode="External"/><Relationship Id="rId22" Type="http://schemas.openxmlformats.org/officeDocument/2006/relationships/image" Target="media/image4.jpeg"/><Relationship Id="rId27" Type="http://schemas.openxmlformats.org/officeDocument/2006/relationships/image" Target="media/image6.png"/><Relationship Id="rId30" Type="http://schemas.openxmlformats.org/officeDocument/2006/relationships/hyperlink" Target="https://www.planthealthaustralia.com.au/response-arrangements/emergency-plant-pest-response-deed-epprd/" TargetMode="External"/><Relationship Id="rId35" Type="http://schemas.openxmlformats.org/officeDocument/2006/relationships/hyperlink" Target="https://www.planthealthaustralia.com.au/response-arrangements/plantplan/"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reativecommons.org/licenses/by/4.0/legalcode" TargetMode="External"/><Relationship Id="rId17" Type="http://schemas.openxmlformats.org/officeDocument/2006/relationships/header" Target="header2.xml"/><Relationship Id="rId25" Type="http://schemas.openxmlformats.org/officeDocument/2006/relationships/hyperlink" Target="https://www.pmc.gov.au/resources/australian-government-crisis-management-framework-agcmf" TargetMode="External"/><Relationship Id="rId33" Type="http://schemas.openxmlformats.org/officeDocument/2006/relationships/hyperlink" Target="https://www.agriculture.gov.au/biosecurity-trade/policy/emergency/h5-hpai-nma" TargetMode="External"/><Relationship Id="rId38" Type="http://schemas.openxmlformats.org/officeDocument/2006/relationships/hyperlink" Target="https://pha.canopihr.com.au/Auth/Login?ReturnUrl=%2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c01dc6-2c49-4730-b140-874c95cac377" xsi:nil="true"/>
    <lcf76f155ced4ddcb4097134ff3c332f xmlns="b082b86c-d5e5-49da-b911-c8e08fe14bc1">
      <Terms xmlns="http://schemas.microsoft.com/office/infopath/2007/PartnerControls"/>
    </lcf76f155ced4ddcb4097134ff3c332f>
    <SMENotes xmlns="b082b86c-d5e5-49da-b911-c8e08fe14bc1" xsi:nil="true"/>
    <Status xmlns="b082b86c-d5e5-49da-b911-c8e08fe14bc1" xsi:nil="true"/>
    <Recentupdate xmlns="b082b86c-d5e5-49da-b911-c8e08fe14bc1" xsi:nil="true"/>
  </documentManagement>
</p:properties>
</file>

<file path=customXml/item2.xml><?xml version="1.0" encoding="utf-8"?>
<b:Sources xmlns:b="http://schemas.openxmlformats.org/officeDocument/2006/bibliography" xmlns="http://schemas.openxmlformats.org/officeDocument/2006/bibliography" SelectedStyle="\HarvardAGPS.XSL" StyleName="Harvard - AGP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D20985CA208464A9E23B883067A87F8" ma:contentTypeVersion="20" ma:contentTypeDescription="Create a new document." ma:contentTypeScope="" ma:versionID="03586475be01d20909430fbb30c7f56c">
  <xsd:schema xmlns:xsd="http://www.w3.org/2001/XMLSchema" xmlns:xs="http://www.w3.org/2001/XMLSchema" xmlns:p="http://schemas.microsoft.com/office/2006/metadata/properties" xmlns:ns2="b082b86c-d5e5-49da-b911-c8e08fe14bc1" xmlns:ns3="81c01dc6-2c49-4730-b140-874c95cac377" targetNamespace="http://schemas.microsoft.com/office/2006/metadata/properties" ma:root="true" ma:fieldsID="8a401ab64d9adce7eb020ce3c6c62827" ns2:_="" ns3:_="">
    <xsd:import namespace="b082b86c-d5e5-49da-b911-c8e08fe14bc1"/>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element ref="ns2:MediaLengthInSeconds" minOccurs="0"/>
                <xsd:element ref="ns2:MediaServiceLocation" minOccurs="0"/>
                <xsd:element ref="ns2:SMENotes" minOccurs="0"/>
                <xsd:element ref="ns2:Recent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2b86c-d5e5-49da-b911-c8e08fe14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format="Dropdown" ma:internalName="Status">
      <xsd:simpleType>
        <xsd:union memberTypes="dms:Text">
          <xsd:simpleType>
            <xsd:restriction base="dms:Choice">
              <xsd:enumeration value="Work in progress"/>
              <xsd:enumeration value="Draft"/>
              <xsd:enumeration value="For Review"/>
              <xsd:enumeration value="Approved"/>
              <xsd:enumeration value="Final version"/>
              <xsd:enumeration value="Template ready for use"/>
            </xsd:restriction>
          </xsd:simpleType>
        </xsd:un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SMENotes" ma:index="22" nillable="true" ma:displayName="SME Notes" ma:format="Dropdown" ma:internalName="SMENotes">
      <xsd:simpleType>
        <xsd:restriction base="dms:Note"/>
      </xsd:simpleType>
    </xsd:element>
    <xsd:element name="Recentupdate" ma:index="23" nillable="true" ma:displayName="Recent update" ma:format="Dropdown" ma:internalName="Recentupd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496d72-c46f-40e5-9938-1b437713484f}" ma:internalName="TaxCatchAll" ma:showField="CatchAllData" ma:web="b2546bb3-0047-4df1-94f4-3d742af097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1CAD33-3B39-4665-A5E6-666D035120E9}">
  <ds:schemaRefs>
    <ds:schemaRef ds:uri="http://schemas.microsoft.com/office/2006/metadata/properties"/>
    <ds:schemaRef ds:uri="http://schemas.microsoft.com/office/infopath/2007/PartnerControls"/>
    <ds:schemaRef ds:uri="81c01dc6-2c49-4730-b140-874c95cac377"/>
    <ds:schemaRef ds:uri="b082b86c-d5e5-49da-b911-c8e08fe14bc1"/>
  </ds:schemaRefs>
</ds:datastoreItem>
</file>

<file path=customXml/itemProps2.xml><?xml version="1.0" encoding="utf-8"?>
<ds:datastoreItem xmlns:ds="http://schemas.openxmlformats.org/officeDocument/2006/customXml" ds:itemID="{49DEDD9B-2A9B-49C9-B274-737FCC3913CD}">
  <ds:schemaRefs>
    <ds:schemaRef ds:uri="http://schemas.openxmlformats.org/officeDocument/2006/bibliography"/>
  </ds:schemaRefs>
</ds:datastoreItem>
</file>

<file path=customXml/itemProps3.xml><?xml version="1.0" encoding="utf-8"?>
<ds:datastoreItem xmlns:ds="http://schemas.openxmlformats.org/officeDocument/2006/customXml" ds:itemID="{F9B48E02-C406-418D-A555-2A3BB9164250}">
  <ds:schemaRefs>
    <ds:schemaRef ds:uri="http://schemas.microsoft.com/sharepoint/v3/contenttype/forms"/>
  </ds:schemaRefs>
</ds:datastoreItem>
</file>

<file path=customXml/itemProps4.xml><?xml version="1.0" encoding="utf-8"?>
<ds:datastoreItem xmlns:ds="http://schemas.openxmlformats.org/officeDocument/2006/customXml" ds:itemID="{2EE1607F-BFAE-42EE-A38A-6E7B63C89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82b86c-d5e5-49da-b911-c8e08fe14bc1"/>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111</TotalTime>
  <Pages>17</Pages>
  <Words>4712</Words>
  <Characters>26865</Characters>
  <Application>Microsoft Office Word</Application>
  <DocSecurity>0</DocSecurity>
  <Lines>223</Lines>
  <Paragraphs>63</Paragraphs>
  <ScaleCrop>false</ScaleCrop>
  <Manager/>
  <Company/>
  <LinksUpToDate>false</LinksUpToDate>
  <CharactersWithSpaces>31514</CharactersWithSpaces>
  <SharedDoc>false</SharedDoc>
  <HyperlinkBase/>
  <HLinks>
    <vt:vector size="288" baseType="variant">
      <vt:variant>
        <vt:i4>5374067</vt:i4>
      </vt:variant>
      <vt:variant>
        <vt:i4>222</vt:i4>
      </vt:variant>
      <vt:variant>
        <vt:i4>0</vt:i4>
      </vt:variant>
      <vt:variant>
        <vt:i4>5</vt:i4>
      </vt:variant>
      <vt:variant>
        <vt:lpwstr/>
      </vt:variant>
      <vt:variant>
        <vt:lpwstr>Table_2</vt:lpwstr>
      </vt:variant>
      <vt:variant>
        <vt:i4>3080254</vt:i4>
      </vt:variant>
      <vt:variant>
        <vt:i4>219</vt:i4>
      </vt:variant>
      <vt:variant>
        <vt:i4>0</vt:i4>
      </vt:variant>
      <vt:variant>
        <vt:i4>5</vt:i4>
      </vt:variant>
      <vt:variant>
        <vt:lpwstr>https://www.biosecurity.gov.au/about/national-biosecurity-committee</vt:lpwstr>
      </vt:variant>
      <vt:variant>
        <vt:lpwstr/>
      </vt:variant>
      <vt:variant>
        <vt:i4>2555959</vt:i4>
      </vt:variant>
      <vt:variant>
        <vt:i4>216</vt:i4>
      </vt:variant>
      <vt:variant>
        <vt:i4>0</vt:i4>
      </vt:variant>
      <vt:variant>
        <vt:i4>5</vt:i4>
      </vt:variant>
      <vt:variant>
        <vt:lpwstr>https://biotraininghub.com.au/</vt:lpwstr>
      </vt:variant>
      <vt:variant>
        <vt:lpwstr/>
      </vt:variant>
      <vt:variant>
        <vt:i4>4587540</vt:i4>
      </vt:variant>
      <vt:variant>
        <vt:i4>213</vt:i4>
      </vt:variant>
      <vt:variant>
        <vt:i4>0</vt:i4>
      </vt:variant>
      <vt:variant>
        <vt:i4>5</vt:i4>
      </vt:variant>
      <vt:variant>
        <vt:lpwstr>https://aha.canopihr.com.au/auth/login/?returnUrl=%2F</vt:lpwstr>
      </vt:variant>
      <vt:variant>
        <vt:lpwstr/>
      </vt:variant>
      <vt:variant>
        <vt:i4>5505118</vt:i4>
      </vt:variant>
      <vt:variant>
        <vt:i4>210</vt:i4>
      </vt:variant>
      <vt:variant>
        <vt:i4>0</vt:i4>
      </vt:variant>
      <vt:variant>
        <vt:i4>5</vt:i4>
      </vt:variant>
      <vt:variant>
        <vt:lpwstr>https://pha.canopihr.com.au/Auth/Login?ReturnUrl=%2f</vt:lpwstr>
      </vt:variant>
      <vt:variant>
        <vt:lpwstr/>
      </vt:variant>
      <vt:variant>
        <vt:i4>7864427</vt:i4>
      </vt:variant>
      <vt:variant>
        <vt:i4>207</vt:i4>
      </vt:variant>
      <vt:variant>
        <vt:i4>0</vt:i4>
      </vt:variant>
      <vt:variant>
        <vt:i4>5</vt:i4>
      </vt:variant>
      <vt:variant>
        <vt:lpwstr>https://www.marinepests.gov.au/what-we-do/emergency/emergency-marine-pest-plan</vt:lpwstr>
      </vt:variant>
      <vt:variant>
        <vt:lpwstr/>
      </vt:variant>
      <vt:variant>
        <vt:i4>7733298</vt:i4>
      </vt:variant>
      <vt:variant>
        <vt:i4>204</vt:i4>
      </vt:variant>
      <vt:variant>
        <vt:i4>0</vt:i4>
      </vt:variant>
      <vt:variant>
        <vt:i4>5</vt:i4>
      </vt:variant>
      <vt:variant>
        <vt:lpwstr>https://www.agriculture.gov.au/agriculture-land/animal/aquatic/aquavetplan</vt:lpwstr>
      </vt:variant>
      <vt:variant>
        <vt:lpwstr/>
      </vt:variant>
      <vt:variant>
        <vt:i4>1966084</vt:i4>
      </vt:variant>
      <vt:variant>
        <vt:i4>201</vt:i4>
      </vt:variant>
      <vt:variant>
        <vt:i4>0</vt:i4>
      </vt:variant>
      <vt:variant>
        <vt:i4>5</vt:i4>
      </vt:variant>
      <vt:variant>
        <vt:lpwstr>https://www.planthealthaustralia.com.au/response-arrangements/plantplan/</vt:lpwstr>
      </vt:variant>
      <vt:variant>
        <vt:lpwstr/>
      </vt:variant>
      <vt:variant>
        <vt:i4>4521996</vt:i4>
      </vt:variant>
      <vt:variant>
        <vt:i4>198</vt:i4>
      </vt:variant>
      <vt:variant>
        <vt:i4>0</vt:i4>
      </vt:variant>
      <vt:variant>
        <vt:i4>5</vt:i4>
      </vt:variant>
      <vt:variant>
        <vt:lpwstr>https://animalhealthaustralia.com.au/ausvetplan/</vt:lpwstr>
      </vt:variant>
      <vt:variant>
        <vt:lpwstr/>
      </vt:variant>
      <vt:variant>
        <vt:i4>4718661</vt:i4>
      </vt:variant>
      <vt:variant>
        <vt:i4>195</vt:i4>
      </vt:variant>
      <vt:variant>
        <vt:i4>0</vt:i4>
      </vt:variant>
      <vt:variant>
        <vt:i4>5</vt:i4>
      </vt:variant>
      <vt:variant>
        <vt:lpwstr>https://www.agriculture.gov.au/biosecurity-trade/policy/emergency/h5-hpai-nma</vt:lpwstr>
      </vt:variant>
      <vt:variant>
        <vt:lpwstr/>
      </vt:variant>
      <vt:variant>
        <vt:i4>4718661</vt:i4>
      </vt:variant>
      <vt:variant>
        <vt:i4>192</vt:i4>
      </vt:variant>
      <vt:variant>
        <vt:i4>0</vt:i4>
      </vt:variant>
      <vt:variant>
        <vt:i4>5</vt:i4>
      </vt:variant>
      <vt:variant>
        <vt:lpwstr>https://www.agriculture.gov.au/biosecurity-trade/policy/emergency/h5-hpai-nma</vt:lpwstr>
      </vt:variant>
      <vt:variant>
        <vt:lpwstr/>
      </vt:variant>
      <vt:variant>
        <vt:i4>2293883</vt:i4>
      </vt:variant>
      <vt:variant>
        <vt:i4>189</vt:i4>
      </vt:variant>
      <vt:variant>
        <vt:i4>0</vt:i4>
      </vt:variant>
      <vt:variant>
        <vt:i4>5</vt:i4>
      </vt:variant>
      <vt:variant>
        <vt:lpwstr>https://www.agriculture.gov.au/biosecurity-trade/policy/emergency/nebra</vt:lpwstr>
      </vt:variant>
      <vt:variant>
        <vt:lpwstr/>
      </vt:variant>
      <vt:variant>
        <vt:i4>7077994</vt:i4>
      </vt:variant>
      <vt:variant>
        <vt:i4>186</vt:i4>
      </vt:variant>
      <vt:variant>
        <vt:i4>0</vt:i4>
      </vt:variant>
      <vt:variant>
        <vt:i4>5</vt:i4>
      </vt:variant>
      <vt:variant>
        <vt:lpwstr>https://animalhealthaustralia.com.au/eadra/</vt:lpwstr>
      </vt:variant>
      <vt:variant>
        <vt:lpwstr/>
      </vt:variant>
      <vt:variant>
        <vt:i4>6815848</vt:i4>
      </vt:variant>
      <vt:variant>
        <vt:i4>183</vt:i4>
      </vt:variant>
      <vt:variant>
        <vt:i4>0</vt:i4>
      </vt:variant>
      <vt:variant>
        <vt:i4>5</vt:i4>
      </vt:variant>
      <vt:variant>
        <vt:lpwstr>https://www.planthealthaustralia.com.au/response-arrangements/emergency-plant-pest-response-deed-epprd/</vt:lpwstr>
      </vt:variant>
      <vt:variant>
        <vt:lpwstr/>
      </vt:variant>
      <vt:variant>
        <vt:i4>4521996</vt:i4>
      </vt:variant>
      <vt:variant>
        <vt:i4>180</vt:i4>
      </vt:variant>
      <vt:variant>
        <vt:i4>0</vt:i4>
      </vt:variant>
      <vt:variant>
        <vt:i4>5</vt:i4>
      </vt:variant>
      <vt:variant>
        <vt:lpwstr>https://animalhealthaustralia.com.au/ausvetplan/</vt:lpwstr>
      </vt:variant>
      <vt:variant>
        <vt:lpwstr/>
      </vt:variant>
      <vt:variant>
        <vt:i4>4521992</vt:i4>
      </vt:variant>
      <vt:variant>
        <vt:i4>177</vt:i4>
      </vt:variant>
      <vt:variant>
        <vt:i4>0</vt:i4>
      </vt:variant>
      <vt:variant>
        <vt:i4>5</vt:i4>
      </vt:variant>
      <vt:variant>
        <vt:lpwstr/>
      </vt:variant>
      <vt:variant>
        <vt:lpwstr>_Response_cost-sharing</vt:lpwstr>
      </vt:variant>
      <vt:variant>
        <vt:i4>3080296</vt:i4>
      </vt:variant>
      <vt:variant>
        <vt:i4>174</vt:i4>
      </vt:variant>
      <vt:variant>
        <vt:i4>0</vt:i4>
      </vt:variant>
      <vt:variant>
        <vt:i4>5</vt:i4>
      </vt:variant>
      <vt:variant>
        <vt:lpwstr>https://www.nema.gov.au/our-work/emergency-response/crisis-appreciation-and-strategic-planning</vt:lpwstr>
      </vt:variant>
      <vt:variant>
        <vt:lpwstr/>
      </vt:variant>
      <vt:variant>
        <vt:i4>4915244</vt:i4>
      </vt:variant>
      <vt:variant>
        <vt:i4>171</vt:i4>
      </vt:variant>
      <vt:variant>
        <vt:i4>0</vt:i4>
      </vt:variant>
      <vt:variant>
        <vt:i4>5</vt:i4>
      </vt:variant>
      <vt:variant>
        <vt:lpwstr/>
      </vt:variant>
      <vt:variant>
        <vt:lpwstr>Figure_2</vt:lpwstr>
      </vt:variant>
      <vt:variant>
        <vt:i4>1769486</vt:i4>
      </vt:variant>
      <vt:variant>
        <vt:i4>165</vt:i4>
      </vt:variant>
      <vt:variant>
        <vt:i4>0</vt:i4>
      </vt:variant>
      <vt:variant>
        <vt:i4>5</vt:i4>
      </vt:variant>
      <vt:variant>
        <vt:lpwstr>https://www.agriculture.gov.au/biosecurity-trade/policy/emergency</vt:lpwstr>
      </vt:variant>
      <vt:variant>
        <vt:lpwstr/>
      </vt:variant>
      <vt:variant>
        <vt:i4>5636113</vt:i4>
      </vt:variant>
      <vt:variant>
        <vt:i4>162</vt:i4>
      </vt:variant>
      <vt:variant>
        <vt:i4>0</vt:i4>
      </vt:variant>
      <vt:variant>
        <vt:i4>5</vt:i4>
      </vt:variant>
      <vt:variant>
        <vt:lpwstr>https://www.pmc.gov.au/resources/australian-government-crisis-management-framework-agcmf</vt:lpwstr>
      </vt:variant>
      <vt:variant>
        <vt:lpwstr/>
      </vt:variant>
      <vt:variant>
        <vt:i4>5374067</vt:i4>
      </vt:variant>
      <vt:variant>
        <vt:i4>159</vt:i4>
      </vt:variant>
      <vt:variant>
        <vt:i4>0</vt:i4>
      </vt:variant>
      <vt:variant>
        <vt:i4>5</vt:i4>
      </vt:variant>
      <vt:variant>
        <vt:lpwstr/>
      </vt:variant>
      <vt:variant>
        <vt:lpwstr>Table_1</vt:lpwstr>
      </vt:variant>
      <vt:variant>
        <vt:i4>4718636</vt:i4>
      </vt:variant>
      <vt:variant>
        <vt:i4>153</vt:i4>
      </vt:variant>
      <vt:variant>
        <vt:i4>0</vt:i4>
      </vt:variant>
      <vt:variant>
        <vt:i4>5</vt:i4>
      </vt:variant>
      <vt:variant>
        <vt:lpwstr/>
      </vt:variant>
      <vt:variant>
        <vt:lpwstr>Figure_1</vt:lpwstr>
      </vt:variant>
      <vt:variant>
        <vt:i4>589906</vt:i4>
      </vt:variant>
      <vt:variant>
        <vt:i4>147</vt:i4>
      </vt:variant>
      <vt:variant>
        <vt:i4>0</vt:i4>
      </vt:variant>
      <vt:variant>
        <vt:i4>5</vt:i4>
      </vt:variant>
      <vt:variant>
        <vt:lpwstr>https://www.afac.com.au/AIIMS</vt:lpwstr>
      </vt:variant>
      <vt:variant>
        <vt:lpwstr/>
      </vt:variant>
      <vt:variant>
        <vt:i4>1507334</vt:i4>
      </vt:variant>
      <vt:variant>
        <vt:i4>144</vt:i4>
      </vt:variant>
      <vt:variant>
        <vt:i4>0</vt:i4>
      </vt:variant>
      <vt:variant>
        <vt:i4>5</vt:i4>
      </vt:variant>
      <vt:variant>
        <vt:lpwstr>https://knowledge.aidr.org.au/resources/handbook-public-information-and-warnings/</vt:lpwstr>
      </vt:variant>
      <vt:variant>
        <vt:lpwstr/>
      </vt:variant>
      <vt:variant>
        <vt:i4>1835060</vt:i4>
      </vt:variant>
      <vt:variant>
        <vt:i4>137</vt:i4>
      </vt:variant>
      <vt:variant>
        <vt:i4>0</vt:i4>
      </vt:variant>
      <vt:variant>
        <vt:i4>5</vt:i4>
      </vt:variant>
      <vt:variant>
        <vt:lpwstr/>
      </vt:variant>
      <vt:variant>
        <vt:lpwstr>_Toc227936262</vt:lpwstr>
      </vt:variant>
      <vt:variant>
        <vt:i4>1835060</vt:i4>
      </vt:variant>
      <vt:variant>
        <vt:i4>131</vt:i4>
      </vt:variant>
      <vt:variant>
        <vt:i4>0</vt:i4>
      </vt:variant>
      <vt:variant>
        <vt:i4>5</vt:i4>
      </vt:variant>
      <vt:variant>
        <vt:lpwstr/>
      </vt:variant>
      <vt:variant>
        <vt:lpwstr>_Toc227936261</vt:lpwstr>
      </vt:variant>
      <vt:variant>
        <vt:i4>1835060</vt:i4>
      </vt:variant>
      <vt:variant>
        <vt:i4>122</vt:i4>
      </vt:variant>
      <vt:variant>
        <vt:i4>0</vt:i4>
      </vt:variant>
      <vt:variant>
        <vt:i4>5</vt:i4>
      </vt:variant>
      <vt:variant>
        <vt:lpwstr/>
      </vt:variant>
      <vt:variant>
        <vt:lpwstr>_Toc227936260</vt:lpwstr>
      </vt:variant>
      <vt:variant>
        <vt:i4>2031668</vt:i4>
      </vt:variant>
      <vt:variant>
        <vt:i4>116</vt:i4>
      </vt:variant>
      <vt:variant>
        <vt:i4>0</vt:i4>
      </vt:variant>
      <vt:variant>
        <vt:i4>5</vt:i4>
      </vt:variant>
      <vt:variant>
        <vt:lpwstr/>
      </vt:variant>
      <vt:variant>
        <vt:lpwstr>_Toc227936259</vt:lpwstr>
      </vt:variant>
      <vt:variant>
        <vt:i4>1179701</vt:i4>
      </vt:variant>
      <vt:variant>
        <vt:i4>107</vt:i4>
      </vt:variant>
      <vt:variant>
        <vt:i4>0</vt:i4>
      </vt:variant>
      <vt:variant>
        <vt:i4>5</vt:i4>
      </vt:variant>
      <vt:variant>
        <vt:lpwstr/>
      </vt:variant>
      <vt:variant>
        <vt:lpwstr>_Toc227937397</vt:lpwstr>
      </vt:variant>
      <vt:variant>
        <vt:i4>1179701</vt:i4>
      </vt:variant>
      <vt:variant>
        <vt:i4>101</vt:i4>
      </vt:variant>
      <vt:variant>
        <vt:i4>0</vt:i4>
      </vt:variant>
      <vt:variant>
        <vt:i4>5</vt:i4>
      </vt:variant>
      <vt:variant>
        <vt:lpwstr/>
      </vt:variant>
      <vt:variant>
        <vt:lpwstr>_Toc227937396</vt:lpwstr>
      </vt:variant>
      <vt:variant>
        <vt:i4>1179701</vt:i4>
      </vt:variant>
      <vt:variant>
        <vt:i4>95</vt:i4>
      </vt:variant>
      <vt:variant>
        <vt:i4>0</vt:i4>
      </vt:variant>
      <vt:variant>
        <vt:i4>5</vt:i4>
      </vt:variant>
      <vt:variant>
        <vt:lpwstr/>
      </vt:variant>
      <vt:variant>
        <vt:lpwstr>_Toc227937395</vt:lpwstr>
      </vt:variant>
      <vt:variant>
        <vt:i4>1179701</vt:i4>
      </vt:variant>
      <vt:variant>
        <vt:i4>89</vt:i4>
      </vt:variant>
      <vt:variant>
        <vt:i4>0</vt:i4>
      </vt:variant>
      <vt:variant>
        <vt:i4>5</vt:i4>
      </vt:variant>
      <vt:variant>
        <vt:lpwstr/>
      </vt:variant>
      <vt:variant>
        <vt:lpwstr>_Toc227937394</vt:lpwstr>
      </vt:variant>
      <vt:variant>
        <vt:i4>1179701</vt:i4>
      </vt:variant>
      <vt:variant>
        <vt:i4>83</vt:i4>
      </vt:variant>
      <vt:variant>
        <vt:i4>0</vt:i4>
      </vt:variant>
      <vt:variant>
        <vt:i4>5</vt:i4>
      </vt:variant>
      <vt:variant>
        <vt:lpwstr/>
      </vt:variant>
      <vt:variant>
        <vt:lpwstr>_Toc227937393</vt:lpwstr>
      </vt:variant>
      <vt:variant>
        <vt:i4>1179701</vt:i4>
      </vt:variant>
      <vt:variant>
        <vt:i4>77</vt:i4>
      </vt:variant>
      <vt:variant>
        <vt:i4>0</vt:i4>
      </vt:variant>
      <vt:variant>
        <vt:i4>5</vt:i4>
      </vt:variant>
      <vt:variant>
        <vt:lpwstr/>
      </vt:variant>
      <vt:variant>
        <vt:lpwstr>_Toc227937392</vt:lpwstr>
      </vt:variant>
      <vt:variant>
        <vt:i4>1179701</vt:i4>
      </vt:variant>
      <vt:variant>
        <vt:i4>71</vt:i4>
      </vt:variant>
      <vt:variant>
        <vt:i4>0</vt:i4>
      </vt:variant>
      <vt:variant>
        <vt:i4>5</vt:i4>
      </vt:variant>
      <vt:variant>
        <vt:lpwstr/>
      </vt:variant>
      <vt:variant>
        <vt:lpwstr>_Toc227937391</vt:lpwstr>
      </vt:variant>
      <vt:variant>
        <vt:i4>1179701</vt:i4>
      </vt:variant>
      <vt:variant>
        <vt:i4>65</vt:i4>
      </vt:variant>
      <vt:variant>
        <vt:i4>0</vt:i4>
      </vt:variant>
      <vt:variant>
        <vt:i4>5</vt:i4>
      </vt:variant>
      <vt:variant>
        <vt:lpwstr/>
      </vt:variant>
      <vt:variant>
        <vt:lpwstr>_Toc227937390</vt:lpwstr>
      </vt:variant>
      <vt:variant>
        <vt:i4>1245237</vt:i4>
      </vt:variant>
      <vt:variant>
        <vt:i4>59</vt:i4>
      </vt:variant>
      <vt:variant>
        <vt:i4>0</vt:i4>
      </vt:variant>
      <vt:variant>
        <vt:i4>5</vt:i4>
      </vt:variant>
      <vt:variant>
        <vt:lpwstr/>
      </vt:variant>
      <vt:variant>
        <vt:lpwstr>_Toc227937389</vt:lpwstr>
      </vt:variant>
      <vt:variant>
        <vt:i4>1245237</vt:i4>
      </vt:variant>
      <vt:variant>
        <vt:i4>53</vt:i4>
      </vt:variant>
      <vt:variant>
        <vt:i4>0</vt:i4>
      </vt:variant>
      <vt:variant>
        <vt:i4>5</vt:i4>
      </vt:variant>
      <vt:variant>
        <vt:lpwstr/>
      </vt:variant>
      <vt:variant>
        <vt:lpwstr>_Toc227937388</vt:lpwstr>
      </vt:variant>
      <vt:variant>
        <vt:i4>1245237</vt:i4>
      </vt:variant>
      <vt:variant>
        <vt:i4>47</vt:i4>
      </vt:variant>
      <vt:variant>
        <vt:i4>0</vt:i4>
      </vt:variant>
      <vt:variant>
        <vt:i4>5</vt:i4>
      </vt:variant>
      <vt:variant>
        <vt:lpwstr/>
      </vt:variant>
      <vt:variant>
        <vt:lpwstr>_Toc227937387</vt:lpwstr>
      </vt:variant>
      <vt:variant>
        <vt:i4>1245237</vt:i4>
      </vt:variant>
      <vt:variant>
        <vt:i4>41</vt:i4>
      </vt:variant>
      <vt:variant>
        <vt:i4>0</vt:i4>
      </vt:variant>
      <vt:variant>
        <vt:i4>5</vt:i4>
      </vt:variant>
      <vt:variant>
        <vt:lpwstr/>
      </vt:variant>
      <vt:variant>
        <vt:lpwstr>_Toc227937386</vt:lpwstr>
      </vt:variant>
      <vt:variant>
        <vt:i4>1245237</vt:i4>
      </vt:variant>
      <vt:variant>
        <vt:i4>35</vt:i4>
      </vt:variant>
      <vt:variant>
        <vt:i4>0</vt:i4>
      </vt:variant>
      <vt:variant>
        <vt:i4>5</vt:i4>
      </vt:variant>
      <vt:variant>
        <vt:lpwstr/>
      </vt:variant>
      <vt:variant>
        <vt:lpwstr>_Toc227937385</vt:lpwstr>
      </vt:variant>
      <vt:variant>
        <vt:i4>1245237</vt:i4>
      </vt:variant>
      <vt:variant>
        <vt:i4>29</vt:i4>
      </vt:variant>
      <vt:variant>
        <vt:i4>0</vt:i4>
      </vt:variant>
      <vt:variant>
        <vt:i4>5</vt:i4>
      </vt:variant>
      <vt:variant>
        <vt:lpwstr/>
      </vt:variant>
      <vt:variant>
        <vt:lpwstr>_Toc227937384</vt:lpwstr>
      </vt:variant>
      <vt:variant>
        <vt:i4>1245237</vt:i4>
      </vt:variant>
      <vt:variant>
        <vt:i4>23</vt:i4>
      </vt:variant>
      <vt:variant>
        <vt:i4>0</vt:i4>
      </vt:variant>
      <vt:variant>
        <vt:i4>5</vt:i4>
      </vt:variant>
      <vt:variant>
        <vt:lpwstr/>
      </vt:variant>
      <vt:variant>
        <vt:lpwstr>_Toc227937383</vt:lpwstr>
      </vt:variant>
      <vt:variant>
        <vt:i4>1245237</vt:i4>
      </vt:variant>
      <vt:variant>
        <vt:i4>17</vt:i4>
      </vt:variant>
      <vt:variant>
        <vt:i4>0</vt:i4>
      </vt:variant>
      <vt:variant>
        <vt:i4>5</vt:i4>
      </vt:variant>
      <vt:variant>
        <vt:lpwstr/>
      </vt:variant>
      <vt:variant>
        <vt:lpwstr>_Toc227937382</vt:lpwstr>
      </vt:variant>
      <vt:variant>
        <vt:i4>1245237</vt:i4>
      </vt:variant>
      <vt:variant>
        <vt:i4>11</vt:i4>
      </vt:variant>
      <vt:variant>
        <vt:i4>0</vt:i4>
      </vt:variant>
      <vt:variant>
        <vt:i4>5</vt:i4>
      </vt:variant>
      <vt:variant>
        <vt:lpwstr/>
      </vt:variant>
      <vt:variant>
        <vt:lpwstr>_Toc227937381</vt:lpwstr>
      </vt:variant>
      <vt:variant>
        <vt:i4>3080252</vt:i4>
      </vt:variant>
      <vt:variant>
        <vt:i4>6</vt:i4>
      </vt:variant>
      <vt:variant>
        <vt:i4>0</vt:i4>
      </vt:variant>
      <vt:variant>
        <vt:i4>5</vt:i4>
      </vt:variant>
      <vt:variant>
        <vt:lpwstr>https://www.agriculture.gov.au/</vt:lpwstr>
      </vt:variant>
      <vt:variant>
        <vt:lpwstr/>
      </vt:variant>
      <vt:variant>
        <vt:i4>4325407</vt:i4>
      </vt:variant>
      <vt:variant>
        <vt:i4>3</vt:i4>
      </vt:variant>
      <vt:variant>
        <vt:i4>0</vt:i4>
      </vt:variant>
      <vt:variant>
        <vt:i4>5</vt:i4>
      </vt:variant>
      <vt:variant>
        <vt:lpwstr>https://www.outbreak.gov.au/our-role/response-outbreak/national-biosecurity-communication-engagement-network</vt:lpwstr>
      </vt:variant>
      <vt:variant>
        <vt:lpwstr/>
      </vt:variant>
      <vt:variant>
        <vt:i4>5373952</vt:i4>
      </vt:variant>
      <vt:variant>
        <vt:i4>0</vt:i4>
      </vt:variant>
      <vt:variant>
        <vt:i4>0</vt:i4>
      </vt:variant>
      <vt:variant>
        <vt:i4>5</vt:i4>
      </vt:variant>
      <vt:variant>
        <vt:lpwstr>https://creativecommons.org/licenses/by/4.0/legalcode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Biosecurity incident public information manual: Part 1 – Public information policy</dc:title>
  <dc:subject/>
  <dc:creator>National Biosecurity Communication and Engagement Network</dc:creator>
  <cp:keywords/>
  <dc:description/>
  <cp:lastModifiedBy>Gibbons, Sharne</cp:lastModifiedBy>
  <cp:revision>20</cp:revision>
  <cp:lastPrinted>2022-11-17T04:20:00Z</cp:lastPrinted>
  <dcterms:created xsi:type="dcterms:W3CDTF">2026-05-29T02:08:00Z</dcterms:created>
  <dcterms:modified xsi:type="dcterms:W3CDTF">2026-08-03T03:42:00Z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0x0101003D20985CA208464A9E23B883067A87F8</vt:lpwstr>
  </property>
  <property fmtid="{D5CDD505-2E9C-101B-9397-08002B2CF9AE}" pid="3" name="ClassificationContentMarkingHeaderText">
    <vt:lpwstr>OFFICIAL</vt:lpwstr>
  </property>
  <property fmtid="{D5CDD505-2E9C-101B-9397-08002B2CF9AE}" pid="4" name="MSIP_Label_933d8be6-3c40-4052-87a2-9c2adcba8759_Enabled">
    <vt:lpwstr>true</vt:lpwstr>
  </property>
  <property fmtid="{D5CDD505-2E9C-101B-9397-08002B2CF9AE}" pid="5" name="MSIP_Label_933d8be6-3c40-4052-87a2-9c2adcba8759_SetDate">
    <vt:lpwstr>2024-07-12T05:27:22Z</vt:lpwstr>
  </property>
  <property fmtid="{D5CDD505-2E9C-101B-9397-08002B2CF9AE}" pid="6" name="MSIP_Label_933d8be6-3c40-4052-87a2-9c2adcba8759_Method">
    <vt:lpwstr>Privileged</vt:lpwstr>
  </property>
  <property fmtid="{D5CDD505-2E9C-101B-9397-08002B2CF9AE}" pid="7" name="MSIP_Label_933d8be6-3c40-4052-87a2-9c2adcba8759_Name">
    <vt:lpwstr>OFFICIAL</vt:lpwstr>
  </property>
  <property fmtid="{D5CDD505-2E9C-101B-9397-08002B2CF9AE}" pid="8" name="MSIP_Label_933d8be6-3c40-4052-87a2-9c2adcba8759_SiteId">
    <vt:lpwstr>2be67eb7-400c-4b3f-a5a1-1258c0da0696</vt:lpwstr>
  </property>
  <property fmtid="{D5CDD505-2E9C-101B-9397-08002B2CF9AE}" pid="9" name="MSIP_Label_933d8be6-3c40-4052-87a2-9c2adcba8759_ActionId">
    <vt:lpwstr>99b1a1e8-51bf-4650-b895-c4c5a219e14e</vt:lpwstr>
  </property>
  <property fmtid="{D5CDD505-2E9C-101B-9397-08002B2CF9AE}" pid="10" name="MSIP_Label_933d8be6-3c40-4052-87a2-9c2adcba8759_ContentBits">
    <vt:lpwstr>3</vt:lpwstr>
  </property>
  <property fmtid="{D5CDD505-2E9C-101B-9397-08002B2CF9AE}" pid="11" name="MediaServiceImageTags">
    <vt:lpwstr/>
  </property>
  <property fmtid="{D5CDD505-2E9C-101B-9397-08002B2CF9AE}" pid="12" name="ClassificationContentMarkingHeaderShapeIds">
    <vt:lpwstr>608e1b88,7444fd5b,476d6a2f,726f0211,1f1a766d</vt:lpwstr>
  </property>
  <property fmtid="{D5CDD505-2E9C-101B-9397-08002B2CF9AE}" pid="13" name="ClassificationContentMarkingHeaderFontProps">
    <vt:lpwstr>#a80000,12,Arial</vt:lpwstr>
  </property>
  <property fmtid="{D5CDD505-2E9C-101B-9397-08002B2CF9AE}" pid="14" name="ClassificationContentMarkingFooterShapeIds">
    <vt:lpwstr>8d70cd,f055d4a,3c4adb88,1e23519e,51d66c48</vt:lpwstr>
  </property>
  <property fmtid="{D5CDD505-2E9C-101B-9397-08002B2CF9AE}" pid="15" name="ClassificationContentMarkingFooterFontProps">
    <vt:lpwstr>#a80000,12,arial</vt:lpwstr>
  </property>
  <property fmtid="{D5CDD505-2E9C-101B-9397-08002B2CF9AE}" pid="16" name="ClassificationContentMarkingFooterText">
    <vt:lpwstr>OFFICIAL </vt:lpwstr>
  </property>
</Properties>
</file>